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What Falling Transgender Murder Figures Really Tell Us</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A contested analysis suggests recorded killings of transgender people have fallen, even as advocates warn that violence remains a serious threat. The figures matter because they challenge claims of an ever-worsening crisis, but incomplete records and disputed identity data make simple conclusions risky for trans people, families and journalists.</w:t>
      </w:r>
      <w:r/>
    </w:p>
    <w:p>
      <w:pPr>
        <w:pStyle w:val="Heading2"/>
      </w:pPr>
      <w:r>
        <w:t>Essential Takeaways</w:t>
      </w:r>
      <w:r/>
      <w:r/>
    </w:p>
    <w:p>
      <w:pPr>
        <w:pStyle w:val="ListBullet"/>
        <w:spacing w:line="240" w:lineRule="auto"/>
        <w:ind w:left="720"/>
      </w:pPr>
      <w:r/>
      <w:r>
        <w:rPr>
          <w:b/>
        </w:rPr>
        <w:t>Recorded deaths have fallen:</w:t>
      </w:r>
      <w:r>
        <w:t xml:space="preserve"> Advocacy tallies cited in the debate show fewer violent deaths in recent years than at their reported peak.</w:t>
      </w:r>
      <w:r/>
    </w:p>
    <w:p>
      <w:pPr>
        <w:pStyle w:val="ListBullet"/>
        <w:spacing w:line="240" w:lineRule="auto"/>
        <w:ind w:left="720"/>
      </w:pPr>
      <w:r/>
      <w:r>
        <w:rPr>
          <w:b/>
        </w:rPr>
        <w:t>The data has limits:</w:t>
      </w:r>
      <w:r>
        <w:t xml:space="preserve"> Misgendering, incomplete records and inconsistent reporting can make transgender victims difficult to identify.</w:t>
      </w:r>
      <w:r/>
    </w:p>
    <w:p>
      <w:pPr>
        <w:pStyle w:val="ListBullet"/>
        <w:spacing w:line="240" w:lineRule="auto"/>
        <w:ind w:left="720"/>
      </w:pPr>
      <w:r/>
      <w:r>
        <w:rPr>
          <w:b/>
        </w:rPr>
        <w:t>Violence remains real:</w:t>
      </w:r>
      <w:r>
        <w:t xml:space="preserve"> A lower total doesn't mean transgender people are safe from abuse, assault or discrimination.</w:t>
      </w:r>
      <w:r/>
    </w:p>
    <w:p>
      <w:pPr>
        <w:pStyle w:val="ListBullet"/>
        <w:spacing w:line="240" w:lineRule="auto"/>
        <w:ind w:left="720"/>
      </w:pPr>
      <w:r/>
      <w:r>
        <w:rPr>
          <w:b/>
        </w:rPr>
        <w:t>Crime is falling more broadly:</w:t>
      </w:r>
      <w:r>
        <w:t xml:space="preserve"> FBI figures point to a wider decline in violent crime, which provides important context.</w:t>
      </w:r>
      <w:r/>
    </w:p>
    <w:p>
      <w:pPr>
        <w:pStyle w:val="ListBullet"/>
        <w:spacing w:line="240" w:lineRule="auto"/>
        <w:ind w:left="720"/>
      </w:pPr>
      <w:r/>
      <w:r>
        <w:rPr>
          <w:b/>
        </w:rPr>
        <w:t>Statistics need care:</w:t>
      </w:r>
      <w:r>
        <w:t xml:space="preserve"> Comparisons between transgender and general-population murder rates depend heavily on definitions and data quality.</w:t>
      </w:r>
      <w:r/>
      <w:r/>
    </w:p>
    <w:p>
      <w:pPr>
        <w:pStyle w:val="Heading2"/>
      </w:pPr>
      <w:r>
        <w:t>The headline figures are moving down</w:t>
      </w:r>
      <w:r/>
    </w:p>
    <w:p>
      <w:r/>
      <w:r>
        <w:t>The most striking claim in this debate is also the easiest to oversimplify. A report cited by the Boston Globe says Advocates for Trans Equality recorded 53 violent deaths of transgender people in 2023, compared with 27 in 2025. The Human Rights Campaign has reported a similar direction, with its own tally peaking at 47 deaths in 2021 before falling to 27 last year.</w:t>
      </w:r>
      <w:r/>
    </w:p>
    <w:p>
      <w:r/>
      <w:r>
        <w:t>That is a substantial change on paper. It also sits awkwardly beside the language often used in political and advocacy campaigns, where phrases such as "epidemic" or "onslaught" can suggest that danger is accelerating everywhere, all the time. Still, a falling count shouldn't be treated as proof that the threat has disappeared.</w:t>
      </w:r>
      <w:r/>
    </w:p>
    <w:p>
      <w:r/>
      <w:r>
        <w:t>The underlying picture is complicated by small numbers and uncertain identification. Fact-checking analyses of transgender murder statistics have highlighted how difficult it can be to establish a victim's gender identity from public records, particularly when relatives, officials or news reports use a different name or pronoun.</w:t>
      </w:r>
      <w:r/>
    </w:p>
    <w:p>
      <w:pPr>
        <w:pStyle w:val="Heading2"/>
      </w:pPr>
      <w:r>
        <w:t>Why the statistics are so difficult to pin down</w:t>
      </w:r>
      <w:r/>
    </w:p>
    <w:p>
      <w:r/>
      <w:r>
        <w:t>Transgender people do experience serious violence. A global review published in JAMA Network Open found that interpersonal violence is widespread among transgender and gender-diverse adults. That finding is important, but it isn't the same as saying every form of violence is rising, or that recorded killings provide a complete measure of safety.</w:t>
      </w:r>
      <w:r/>
    </w:p>
    <w:p>
      <w:r/>
      <w:r>
        <w:t>The problem is partly practical. Police reports and court records don't always record gender identity, while media coverage may rely on incomplete information. Advocacy groups therefore argue that their figures are likely to miss some victims. As fact-checking reviews have noted, however, that uncertainty cuts both ways: it makes confident claims about either a dramatic increase or a dramatic decline harder to defend.</w:t>
      </w:r>
      <w:r/>
    </w:p>
    <w:p>
      <w:r/>
      <w:r>
        <w:t>This is where careful language matters. A count of recorded deaths is not a perfect thermometer for social hostility. It is more like a weather station with gaps in its readings: useful, revealing and worth watching, but not the whole sky.</w:t>
      </w:r>
      <w:r/>
    </w:p>
    <w:p>
      <w:pPr>
        <w:pStyle w:val="Heading2"/>
      </w:pPr>
      <w:r>
        <w:t>Broader crime trends add essential context</w:t>
      </w:r>
      <w:r/>
    </w:p>
    <w:p>
      <w:r/>
      <w:r>
        <w:t>Federal data points to a wider reduction in crime. The FBI's reported-crime statistics for 2025 and its accompanying analysis describe a notable fall in violent crime across the United States. That broader movement doesn't explain every change in violence against transgender people, but it offers a necessary backdrop.</w:t>
      </w:r>
      <w:r/>
    </w:p>
    <w:p>
      <w:r/>
      <w:r>
        <w:t>Without that context, readers may assume that every change in a minority group's figures reflects a unique political cause. In reality, policing, reporting habits, local conditions, population patterns and wider crime trends can all influence the numbers. A smaller annual tally may reflect genuine improvement, changes in circumstances or limitations in how cases are classified.</w:t>
      </w:r>
      <w:r/>
    </w:p>
    <w:p>
      <w:r/>
      <w:r>
        <w:t>So the fairest reading is neither complacency nor panic. Recorded deaths appear to have declined, while the available data remains too imperfect to measure the full extent of anti-transgender violence with confidence.</w:t>
      </w:r>
      <w:r/>
    </w:p>
    <w:p>
      <w:pPr>
        <w:pStyle w:val="Heading2"/>
      </w:pPr>
      <w:r>
        <w:t>What the competing claims leave out</w:t>
      </w:r>
      <w:r/>
    </w:p>
    <w:p>
      <w:r/>
      <w:r>
        <w:t>The argument over murder rates has become tangled with wider disputes about sport, law and public policy. A claim that restricting transgender participation in school sport will increase violence, for example, is a prediction about social effects, not evidence that killings are currently surging.</w:t>
      </w:r>
      <w:r/>
    </w:p>
    <w:p>
      <w:r/>
      <w:r>
        <w:t>Likewise, a comparison suggesting transgender people have a lower murder rate than the population as a whole may be provocative, but it needs transparent methods. Researchers must explain who is included, how transgender identity is established, which years are compared and whether the populations are similar enough for the comparison to mean much.</w:t>
      </w:r>
      <w:r/>
    </w:p>
    <w:p>
      <w:r/>
      <w:r>
        <w:t>Fact-checking reviews have stressed these caveats. A headline number can be technically correct yet still give a misleading impression if the denominator, missing cases or definition of "transgender murder" isn't clear. Statistics deserve more than a victory lap from whichever side happens to like the result.</w:t>
      </w:r>
      <w:r/>
    </w:p>
    <w:p>
      <w:pPr>
        <w:pStyle w:val="Heading2"/>
      </w:pPr>
      <w:r>
        <w:t>A better way to talk about risk</w:t>
      </w:r>
      <w:r/>
    </w:p>
    <w:p>
      <w:r/>
      <w:r>
        <w:t>The most responsible message is also the least dramatic. Transgender people face genuine risks, and one death is too many. At the same time, available advocacy and federal figures do not clearly support the idea of an unstoppable rise in killings.</w:t>
      </w:r>
      <w:r/>
    </w:p>
    <w:p>
      <w:r/>
      <w:r>
        <w:t>That distinction matters emotionally as well as statistically. Constant warnings can mobilise support, but they can also leave vulnerable people feeling that danger is waiting outside every door. Reporting should acknowledge fear without turning uncertainty into certainty.</w:t>
      </w:r>
      <w:r/>
    </w:p>
    <w:p>
      <w:r/>
      <w:r>
        <w:t>For readers, the practical lesson is simple: check the source, look for the time period, ask how victims were identified and compare claims with wider crime data. The numbers may be encouraging, but they need honesty around the edges.</w:t>
      </w:r>
      <w:r/>
    </w:p>
    <w:p>
      <w:r/>
      <w:r>
        <w:t>The clearest conclusion is modest but meaningful: recorded transgender killings appear to have fallen, while the evidence remains incomplete and the human stakes remain high.</w:t>
      </w:r>
      <w:r/>
    </w:p>
    <w:p>
      <w:r/>
      <w:r>
        <w:t>Choose evidence carefully, and leave room for both progress and protection.</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9">
        <w:r>
          <w:rPr>
            <w:color w:val="0000EE"/>
            <w:u w:val="single"/>
          </w:rPr>
          <w:t>[2]</w:t>
        </w:r>
      </w:hyperlink>
      <w:r>
        <w:t xml:space="preserve">, </w:t>
      </w:r>
      <w:hyperlink r:id="rId10">
        <w:r>
          <w:rPr>
            <w:color w:val="0000EE"/>
            <w:u w:val="single"/>
          </w:rPr>
          <w:t>[5]</w:t>
        </w:r>
      </w:hyperlink>
      <w:r>
        <w:t xml:space="preserve">- Paragraph 2: </w:t>
      </w:r>
      <w:hyperlink r:id="rId9">
        <w:r>
          <w:rPr>
            <w:color w:val="0000EE"/>
            <w:u w:val="single"/>
          </w:rPr>
          <w:t>[2]</w:t>
        </w:r>
      </w:hyperlink>
      <w:r>
        <w:t xml:space="preserve">, </w:t>
      </w:r>
      <w:hyperlink r:id="rId11">
        <w:r>
          <w:rPr>
            <w:color w:val="0000EE"/>
            <w:u w:val="single"/>
          </w:rPr>
          <w:t>[6]</w:t>
        </w:r>
      </w:hyperlink>
      <w:r>
        <w:t xml:space="preserve">- Paragraph 3: </w:t>
      </w:r>
      <w:hyperlink r:id="rId10">
        <w:r>
          <w:rPr>
            <w:color w:val="0000EE"/>
            <w:u w:val="single"/>
          </w:rPr>
          <w:t>[5]</w:t>
        </w:r>
      </w:hyperlink>
      <w:r>
        <w:t xml:space="preserve">, </w:t>
      </w:r>
      <w:hyperlink r:id="rId12">
        <w:r>
          <w:rPr>
            <w:color w:val="0000EE"/>
            <w:u w:val="single"/>
          </w:rPr>
          <w:t>[7]</w:t>
        </w:r>
      </w:hyperlink>
      <w:r>
        <w:t xml:space="preserve">- Paragraph 4: </w:t>
      </w:r>
      <w:hyperlink r:id="rId9">
        <w:r>
          <w:rPr>
            <w:color w:val="0000EE"/>
            <w:u w:val="single"/>
          </w:rPr>
          <w:t>[2]</w:t>
        </w:r>
      </w:hyperlink>
      <w:r>
        <w:t xml:space="preserve">, </w:t>
      </w:r>
      <w:hyperlink r:id="rId10">
        <w:r>
          <w:rPr>
            <w:color w:val="0000EE"/>
            <w:u w:val="single"/>
          </w:rPr>
          <w:t>[5]</w:t>
        </w:r>
      </w:hyperlink>
      <w:r>
        <w:t xml:space="preserve">- Paragraph 5: </w:t>
      </w:r>
      <w:hyperlink r:id="rId10">
        <w:r>
          <w:rPr>
            <w:color w:val="0000EE"/>
            <w:u w:val="single"/>
          </w:rPr>
          <w:t>[5]</w:t>
        </w:r>
      </w:hyperlink>
      <w:r>
        <w:t xml:space="preserve">, </w:t>
      </w:r>
      <w:hyperlink r:id="rId12">
        <w:r>
          <w:rPr>
            <w:color w:val="0000EE"/>
            <w:u w:val="single"/>
          </w:rPr>
          <w:t>[7]</w:t>
        </w:r>
      </w:hyperlink>
      <w:r>
        <w:t xml:space="preserve">- Paragraph 6: </w:t>
      </w:r>
      <w:hyperlink r:id="rId13">
        <w:r>
          <w:rPr>
            <w:color w:val="0000EE"/>
            <w:u w:val="single"/>
          </w:rPr>
          <w:t>[3]</w:t>
        </w:r>
      </w:hyperlink>
      <w:r>
        <w:t xml:space="preserve">, </w:t>
      </w:r>
      <w:hyperlink r:id="rId14">
        <w:r>
          <w:rPr>
            <w:color w:val="0000EE"/>
            <w:u w:val="single"/>
          </w:rPr>
          <w:t>[4]</w:t>
        </w:r>
      </w:hyperlink>
      <w:r>
        <w:t xml:space="preserve">- Paragraph 7: </w:t>
      </w:r>
      <w:hyperlink r:id="rId14">
        <w:r>
          <w:rPr>
            <w:color w:val="0000EE"/>
            <w:u w:val="single"/>
          </w:rPr>
          <w:t>[4]</w:t>
        </w:r>
      </w:hyperlink>
      <w:r>
        <w:t xml:space="preserve">, </w:t>
      </w:r>
      <w:hyperlink r:id="rId11">
        <w:r>
          <w:rPr>
            <w:color w:val="0000EE"/>
            <w:u w:val="single"/>
          </w:rPr>
          <w:t>[6]</w:t>
        </w:r>
      </w:hyperlink>
      <w:r>
        <w:t xml:space="preserve">- Paragraph 8: </w:t>
      </w:r>
      <w:hyperlink r:id="rId10">
        <w:r>
          <w:rPr>
            <w:color w:val="0000EE"/>
            <w:u w:val="single"/>
          </w:rPr>
          <w:t>[5]</w:t>
        </w:r>
      </w:hyperlink>
      <w:r>
        <w:t xml:space="preserve">, </w:t>
      </w:r>
      <w:hyperlink r:id="rId12">
        <w:r>
          <w:rPr>
            <w:color w:val="0000EE"/>
            <w:u w:val="single"/>
          </w:rPr>
          <w:t>[7]</w:t>
        </w:r>
      </w:hyperlink>
      <w:r>
        <w:t xml:space="preserve">- Paragraph 9: </w:t>
      </w:r>
      <w:hyperlink r:id="rId9">
        <w:r>
          <w:rPr>
            <w:color w:val="0000EE"/>
            <w:u w:val="single"/>
          </w:rPr>
          <w:t>[2]</w:t>
        </w:r>
      </w:hyperlink>
      <w:r>
        <w:t xml:space="preserve">, </w:t>
      </w:r>
      <w:hyperlink r:id="rId11">
        <w:r>
          <w:rPr>
            <w:color w:val="0000EE"/>
            <w:u w:val="single"/>
          </w:rPr>
          <w:t>[6]</w:t>
        </w:r>
      </w:hyperlink>
      <w:r>
        <w:t xml:space="preserve">- Paragraph 10: </w:t>
      </w:r>
      <w:hyperlink r:id="rId10">
        <w:r>
          <w:rPr>
            <w:color w:val="0000EE"/>
            <w:u w:val="single"/>
          </w:rPr>
          <w:t>[5]</w:t>
        </w:r>
      </w:hyperlink>
      <w:r>
        <w:t xml:space="preserve">, </w:t>
      </w:r>
      <w:hyperlink r:id="rId12">
        <w:r>
          <w:rPr>
            <w:color w:val="0000EE"/>
            <w:u w:val="single"/>
          </w:rPr>
          <w:t>[7]</w:t>
        </w:r>
      </w:hyperlink>
      <w:r>
        <w:t xml:space="preserve">- Paragraph 11: </w:t>
      </w:r>
      <w:hyperlink r:id="rId13">
        <w:r>
          <w:rPr>
            <w:color w:val="0000EE"/>
            <w:u w:val="single"/>
          </w:rPr>
          <w:t>[3]</w:t>
        </w:r>
      </w:hyperlink>
      <w:r>
        <w:t xml:space="preserve">, </w:t>
      </w:r>
      <w:hyperlink r:id="rId14">
        <w:r>
          <w:rPr>
            <w:color w:val="0000EE"/>
            <w:u w:val="single"/>
          </w:rPr>
          <w:t>[4]</w:t>
        </w:r>
      </w:hyperlink>
      <w:r>
        <w:t xml:space="preserve">- Paragraph 12: </w:t>
      </w:r>
      <w:hyperlink r:id="rId9">
        <w:r>
          <w:rPr>
            <w:color w:val="0000EE"/>
            <w:u w:val="single"/>
          </w:rPr>
          <w:t>[2]</w:t>
        </w:r>
      </w:hyperlink>
      <w:r>
        <w:t xml:space="preserve">, </w:t>
      </w:r>
      <w:hyperlink r:id="rId10">
        <w:r>
          <w:rPr>
            <w:color w:val="0000EE"/>
            <w:u w:val="single"/>
          </w:rPr>
          <w:t>[5]</w:t>
        </w:r>
      </w:hyperlink>
      <w:r>
        <w:t xml:space="preserve">- Paragraph 13: </w:t>
      </w:r>
      <w:hyperlink r:id="rId11">
        <w:r>
          <w:rPr>
            <w:color w:val="0000EE"/>
            <w:u w:val="single"/>
          </w:rPr>
          <w:t>[6]</w:t>
        </w:r>
      </w:hyperlink>
      <w:r>
        <w:t xml:space="preserve">, </w:t>
      </w:r>
      <w:hyperlink r:id="rId12">
        <w:r>
          <w:rPr>
            <w:color w:val="0000EE"/>
            <w:u w:val="single"/>
          </w:rPr>
          <w:t>[7]</w:t>
        </w:r>
      </w:hyperlink>
      <w:r>
        <w:t xml:space="preserve">- Paragraph 14: </w:t>
      </w:r>
      <w:hyperlink r:id="rId10">
        <w:r>
          <w:rPr>
            <w:color w:val="0000EE"/>
            <w:u w:val="single"/>
          </w:rPr>
          <w:t>[5]</w:t>
        </w:r>
      </w:hyperlink>
      <w:r>
        <w:t xml:space="preserve">, </w:t>
      </w:r>
      <w:hyperlink r:id="rId12">
        <w:r>
          <w:rPr>
            <w:color w:val="0000EE"/>
            <w:u w:val="single"/>
          </w:rPr>
          <w:t>[7]</w:t>
        </w:r>
      </w:hyperlink>
      <w:r>
        <w:t xml:space="preserve">- Paragraph 15: </w:t>
      </w:r>
      <w:hyperlink r:id="rId9">
        <w:r>
          <w:rPr>
            <w:color w:val="0000EE"/>
            <w:u w:val="single"/>
          </w:rPr>
          <w:t>[2]</w:t>
        </w:r>
      </w:hyperlink>
      <w:r>
        <w:t xml:space="preserve">, </w:t>
      </w:r>
      <w:hyperlink r:id="rId13">
        <w:r>
          <w:rPr>
            <w:color w:val="0000EE"/>
            <w:u w:val="single"/>
          </w:rPr>
          <w:t>[3]</w:t>
        </w:r>
      </w:hyperlink>
      <w:r>
        <w:t xml:space="preserve">- Paragraph 16: </w:t>
      </w:r>
      <w:hyperlink r:id="rId9">
        <w:r>
          <w:rPr>
            <w:color w:val="0000EE"/>
            <w:u w:val="single"/>
          </w:rPr>
          <w:t>[2]</w:t>
        </w:r>
      </w:hyperlink>
      <w:r>
        <w:t xml:space="preserve">, </w:t>
      </w:r>
      <w:hyperlink r:id="rId10">
        <w:r>
          <w:rPr>
            <w:color w:val="0000EE"/>
            <w:u w:val="single"/>
          </w:rPr>
          <w:t>[5]</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https://www.bostonglobe.com/2026/09/22/opinion/trump-transgender-murder-rate-down/</w:t>
        </w:r>
      </w:hyperlink>
      <w:r>
        <w:t xml:space="preserve"> - Please view link - unable to able to access data</w:t>
      </w:r>
      <w:r/>
    </w:p>
    <w:p>
      <w:pPr>
        <w:pStyle w:val="ListNumber"/>
        <w:spacing w:line="240" w:lineRule="auto"/>
        <w:ind w:left="720"/>
      </w:pPr>
      <w:r/>
      <w:hyperlink r:id="rId9">
        <w:r>
          <w:rPr>
            <w:color w:val="0000EE"/>
            <w:u w:val="single"/>
          </w:rPr>
          <w:t>https://www.bostonglobe.com/2026/09/22/opinion/trump-transgender-murder-rate-down/</w:t>
        </w:r>
      </w:hyperlink>
      <w:r>
        <w:t xml:space="preserve"> - An opinion piece from The Boston Globe discusses the decline in violence against transgender individuals in the United States, highlighting data from LGBTQ rights groups and the FBI that show a decrease in violent deaths and hate crimes targeting the transgender community. The article challenges the prevailing narrative of increasing violence and suggests that the situation is improving, despite political and social challenges faced by transgender people.</w:t>
      </w:r>
      <w:r/>
    </w:p>
    <w:p>
      <w:pPr>
        <w:pStyle w:val="ListNumber"/>
        <w:spacing w:line="240" w:lineRule="auto"/>
        <w:ind w:left="720"/>
      </w:pPr>
      <w:r/>
      <w:hyperlink r:id="rId13">
        <w:r>
          <w:rPr>
            <w:color w:val="0000EE"/>
            <w:u w:val="single"/>
          </w:rPr>
          <w:t>https://www.fbi.gov/news/press-releases/fbi-releases-2025-reported-crimes-in-the-nation-statistics</w:t>
        </w:r>
      </w:hyperlink>
      <w:r>
        <w:t xml:space="preserve"> - The FBI's 2025 crime statistics report reveals a significant decline in violent crimes, including an 18.1% decrease in murder and nonnegligent manslaughter offenses. The murder rate of 4.1 per 100,000 inhabitants ties with 1955 and 1956 for the lowest recorded rate, indicating a substantial reduction in violent crime nationwide.</w:t>
      </w:r>
      <w:r/>
    </w:p>
    <w:p>
      <w:pPr>
        <w:pStyle w:val="ListNumber"/>
        <w:spacing w:line="240" w:lineRule="auto"/>
        <w:ind w:left="720"/>
      </w:pPr>
      <w:r/>
      <w:hyperlink r:id="rId14">
        <w:r>
          <w:rPr>
            <w:color w:val="0000EE"/>
            <w:u w:val="single"/>
          </w:rPr>
          <w:t>https://www.fbi.gov/news/stories/violent-crime-falls-at-historic-rate-new-fbi-data-show</w:t>
        </w:r>
      </w:hyperlink>
      <w:r>
        <w:t xml:space="preserve"> - The FBI reports a 9.3% decrease in violent crime in 2025, marking the largest year-to-year decline since 1936. This includes significant reductions in murder, robbery, rape, and aggravated assault offenses, reflecting a broad and historic drop in violent crime across the United States.</w:t>
      </w:r>
      <w:r/>
    </w:p>
    <w:p>
      <w:pPr>
        <w:pStyle w:val="ListNumber"/>
        <w:spacing w:line="240" w:lineRule="auto"/>
        <w:ind w:left="720"/>
      </w:pPr>
      <w:r/>
      <w:hyperlink r:id="rId10">
        <w:r>
          <w:rPr>
            <w:color w:val="0000EE"/>
            <w:u w:val="single"/>
          </w:rPr>
          <w:t>https://factually.co/fact-checks/society/murder-rates-transgender-people-2025-8f3019</w:t>
        </w:r>
      </w:hyperlink>
      <w:r>
        <w:t xml:space="preserve"> - An analysis of global data on transgender and gender-diverse individuals' murders in 2025 indicates a decline from the previous year. However, the report emphasizes that underreporting and methodological challenges persist, and vulnerable subgroups, especially trans women of colour, remain disproportionately affected by violence.</w:t>
      </w:r>
      <w:r/>
    </w:p>
    <w:p>
      <w:pPr>
        <w:pStyle w:val="ListNumber"/>
        <w:spacing w:line="240" w:lineRule="auto"/>
        <w:ind w:left="720"/>
      </w:pPr>
      <w:r/>
      <w:hyperlink r:id="rId11">
        <w:r>
          <w:rPr>
            <w:color w:val="0000EE"/>
            <w:u w:val="single"/>
          </w:rPr>
          <w:t>https://factually.co/fact-checks/society/murder-rates-transgender-people-2025-5d7129</w:t>
        </w:r>
      </w:hyperlink>
      <w:r>
        <w:t xml:space="preserve"> - A fact-checking article examines the complexities of reporting on transgender murder rates in 2025, noting a modest decline in reported killings compared to the previous year. The piece highlights regional differences, undercounting issues, and the overrepresentation of Black and Brown victims among those murdered.</w:t>
      </w:r>
      <w:r/>
    </w:p>
    <w:p>
      <w:pPr>
        <w:pStyle w:val="ListNumber"/>
        <w:spacing w:line="240" w:lineRule="auto"/>
        <w:ind w:left="720"/>
      </w:pPr>
      <w:r/>
      <w:hyperlink r:id="rId12">
        <w:r>
          <w:rPr>
            <w:color w:val="0000EE"/>
            <w:u w:val="single"/>
          </w:rPr>
          <w:t>https://factually.co/fact-checks/society/murder-rates-transgender-people-united-states-2025-6183a4</w:t>
        </w:r>
      </w:hyperlink>
      <w:r>
        <w:t xml:space="preserve"> - This article discusses the reported murders of transgender and gender-expansive individuals in the United States in 2025, noting that while the absolute numbers remain low, the homicide rate is comparable to or slightly below the overall U.S. homicide rate. It also addresses challenges in data collection and the disproportionate risks faced by racialized subgroups.</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bostonglobe.com/2026/09/22/opinion/trump-transgender-murder-rate-down/" TargetMode="External"/><Relationship Id="rId10" Type="http://schemas.openxmlformats.org/officeDocument/2006/relationships/hyperlink" Target="https://factually.co/fact-checks/society/murder-rates-transgender-people-2025-8f3019" TargetMode="External"/><Relationship Id="rId11" Type="http://schemas.openxmlformats.org/officeDocument/2006/relationships/hyperlink" Target="https://factually.co/fact-checks/society/murder-rates-transgender-people-2025-5d7129" TargetMode="External"/><Relationship Id="rId12" Type="http://schemas.openxmlformats.org/officeDocument/2006/relationships/hyperlink" Target="https://factually.co/fact-checks/society/murder-rates-transgender-people-united-states-2025-6183a4" TargetMode="External"/><Relationship Id="rId13" Type="http://schemas.openxmlformats.org/officeDocument/2006/relationships/hyperlink" Target="https://www.fbi.gov/news/press-releases/fbi-releases-2025-reported-crimes-in-the-nation-statistics" TargetMode="External"/><Relationship Id="rId14" Type="http://schemas.openxmlformats.org/officeDocument/2006/relationships/hyperlink" Target="https://www.fbi.gov/news/stories/violent-crime-falls-at-historic-rate-new-fbi-data-show"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