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NYC backs gender-affirming care for trans youth with $8.9m plan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York City is preparing to invest $8.9 million in nonprofit gender-affirming healthcare for transgender young people, as major hospital groups scale back services after federal agreements. The proposed three-year programme could help keep puberty blockers and hormone treatment available through community providers, while intensifying an already fierce national debate.</w:t>
      </w:r>
      <w:r/>
    </w:p>
    <w:p>
      <w:pPr>
        <w:pStyle w:val="Heading2"/>
      </w:pPr>
      <w:r>
        <w:t>Essential Takeaways</w:t>
      </w:r>
      <w:r/>
      <w:r/>
    </w:p>
    <w:p>
      <w:pPr>
        <w:pStyle w:val="ListBullet"/>
        <w:spacing w:line="240" w:lineRule="auto"/>
        <w:ind w:left="720"/>
      </w:pPr>
      <w:r/>
      <w:r>
        <w:rPr>
          <w:b/>
        </w:rPr>
        <w:t>Nearly $9m proposed:</w:t>
      </w:r>
      <w:r>
        <w:t xml:space="preserve"> The city’s plan would fund services for transgender patients under 18 over three years.</w:t>
      </w:r>
      <w:r/>
    </w:p>
    <w:p>
      <w:pPr>
        <w:pStyle w:val="ListBullet"/>
        <w:spacing w:line="240" w:lineRule="auto"/>
        <w:ind w:left="720"/>
      </w:pPr>
      <w:r/>
      <w:r>
        <w:rPr>
          <w:b/>
        </w:rPr>
        <w:t>Community providers matter:</w:t>
      </w:r>
      <w:r>
        <w:t xml:space="preserve"> Callen-Lorde and NOPI are named in the proposal, with other eligible organisations potentially able to apply.</w:t>
      </w:r>
      <w:r/>
    </w:p>
    <w:p>
      <w:pPr>
        <w:pStyle w:val="ListBullet"/>
        <w:spacing w:line="240" w:lineRule="auto"/>
        <w:ind w:left="720"/>
      </w:pPr>
      <w:r/>
      <w:r>
        <w:rPr>
          <w:b/>
        </w:rPr>
        <w:t>Hospital access has narrowed:</w:t>
      </w:r>
      <w:r>
        <w:t xml:space="preserve"> NYU Langone and Mount Sinai have reached agreements with the US Department of Justice affecting care for minors.</w:t>
      </w:r>
      <w:r/>
    </w:p>
    <w:p>
      <w:pPr>
        <w:pStyle w:val="ListBullet"/>
        <w:spacing w:line="240" w:lineRule="auto"/>
        <w:ind w:left="720"/>
      </w:pPr>
      <w:r/>
      <w:r>
        <w:rPr>
          <w:b/>
        </w:rPr>
        <w:t>Treatment remains regulated:</w:t>
      </w:r>
      <w:r>
        <w:t xml:space="preserve"> Care would require qualified New York-licensed clinicians, parental consent where required, and compliance with applicable standards.</w:t>
      </w:r>
      <w:r/>
    </w:p>
    <w:p>
      <w:pPr>
        <w:pStyle w:val="ListBullet"/>
        <w:spacing w:line="240" w:lineRule="auto"/>
        <w:ind w:left="720"/>
      </w:pPr>
      <w:r/>
      <w:r>
        <w:rPr>
          <w:b/>
        </w:rPr>
        <w:t>The legal fight continues:</w:t>
      </w:r>
      <w:r>
        <w:t xml:space="preserve"> Patient privacy, federal funding and access to treatment are all being contested in court.</w:t>
      </w:r>
      <w:r/>
      <w:r/>
    </w:p>
    <w:p>
      <w:pPr>
        <w:pStyle w:val="Heading2"/>
      </w:pPr>
      <w:r>
        <w:t>New York is putting local money behind trans youth healthcare</w:t>
      </w:r>
      <w:r/>
    </w:p>
    <w:p>
      <w:r/>
      <w:r>
        <w:t>The proposed funding is designed to keep gender-affirming care within reach for transgender minors in New York City. Under the plan, providers could offer or coordinate services including puberty blockers and hormone replacement therapy where clinically appropriate.</w:t>
      </w:r>
      <w:r/>
    </w:p>
    <w:p>
      <w:r/>
      <w:r>
        <w:t>That matters because access is no longer simply a question of whether a hospital has specialist staff. It increasingly depends on funding, legal exposure and whether large healthcare systems believe federal scrutiny could put wider operations at risk.</w:t>
      </w:r>
      <w:r/>
    </w:p>
    <w:p>
      <w:r/>
      <w:r>
        <w:t xml:space="preserve">The city expects contracts to begin on 1 February 2027 and run for three years, with a possible further three-year renewal. That gives the proposal a longer runway than a short-term emergency grant, although it still needs to progress through the contracting process. According to Wise Voter, the initiative is being framed as a structured municipal response to a fast-changing healthcare landscape. </w:t>
      </w:r>
      <w:hyperlink r:id="rId9">
        <w:r>
          <w:rPr>
            <w:color w:val="0000EE"/>
            <w:u w:val="single"/>
          </w:rPr>
          <w:t>[5]</w:t>
        </w:r>
      </w:hyperlink>
      <w:r/>
    </w:p>
    <w:p>
      <w:pPr>
        <w:pStyle w:val="Heading2"/>
      </w:pPr>
      <w:r>
        <w:t>Why community clinics are suddenly so important</w:t>
      </w:r>
      <w:r/>
    </w:p>
    <w:p>
      <w:r/>
      <w:r>
        <w:t>Callen-Lorde Community Health Center is one of the organisations identified for the programme. Its LGBTQ-focused mission makes it a natural fit, particularly as the clinic has continued treating transgender young people while some larger providers have changed course.</w:t>
      </w:r>
      <w:r/>
    </w:p>
    <w:p>
      <w:r/>
      <w:r>
        <w:t>The second named organisation, the Nonprofit Organization for Philanthropic Initiatives, or NOPI, offers a different kind of support. Its role includes fiscal sponsorship and administrative infrastructure, which can help charitable healthcare projects operate without building every back-office function from scratch.</w:t>
      </w:r>
      <w:r/>
    </w:p>
    <w:p>
      <w:r/>
      <w:r>
        <w:t>That distinction is easy to miss, but it could prove crucial. A specialist clinic brings direct medical expertise, while an infrastructure partner can help programmes manage funding, compliance and operations. In practical terms, it’s the difference between having clinicians ready to work and having a system capable of supporting them.</w:t>
      </w:r>
      <w:r/>
    </w:p>
    <w:p>
      <w:pPr>
        <w:pStyle w:val="Heading2"/>
      </w:pPr>
      <w:r>
        <w:t>Major hospitals have taken a more cautious route</w:t>
      </w:r>
      <w:r/>
    </w:p>
    <w:p>
      <w:r/>
      <w:r>
        <w:t>The city’s proposal follows agreements involving NYU Langone and Mount Sinai. NYU Langone agreed to stop providing certain gender-affirming medical interventions to minors as part of a settlement with the Justice Department, alongside an $8.5 million payment. NYU denied the allegations, and the agreement didn’t amount to an admission of liability.</w:t>
      </w:r>
      <w:r/>
    </w:p>
    <w:p>
      <w:r/>
      <w:r>
        <w:t xml:space="preserve">Mount Sinai reached a similar agreement affecting covered treatment for minors. Reports from CBS News New York and NY1 described the changes as part of a broader clash between federal authorities and healthcare providers over how treatment is delivered and funded. </w:t>
      </w:r>
      <w:hyperlink r:id="rId10">
        <w:r>
          <w:rPr>
            <w:color w:val="0000EE"/>
            <w:u w:val="single"/>
          </w:rPr>
          <w:t>[3]</w:t>
        </w:r>
      </w:hyperlink>
      <w:r>
        <w:t xml:space="preserve"> </w:t>
      </w:r>
      <w:hyperlink r:id="rId11">
        <w:r>
          <w:rPr>
            <w:color w:val="0000EE"/>
            <w:u w:val="single"/>
          </w:rPr>
          <w:t>[6]</w:t>
        </w:r>
      </w:hyperlink>
      <w:r/>
    </w:p>
    <w:p>
      <w:r/>
      <w:r>
        <w:t>The result is a striking split in the market. Large hospital systems, with extensive federal relationships and significant financial exposure, may be more cautious. Smaller nonprofit providers, meanwhile, can sometimes focus more narrowly on local law and community need.</w:t>
      </w:r>
      <w:r/>
    </w:p>
    <w:p>
      <w:r/>
      <w:r>
        <w:t>That doesn’t make the smaller model effortless. Specialist care still requires trained staff, secure records, safeguarding procedures and sustainable funding. But it does explain why city officials are looking beyond traditional hospital networks.</w:t>
      </w:r>
      <w:r/>
    </w:p>
    <w:p>
      <w:pPr>
        <w:pStyle w:val="Heading2"/>
      </w:pPr>
      <w:r>
        <w:t>What could the funding cover?</w:t>
      </w:r>
      <w:r/>
    </w:p>
    <w:p>
      <w:r/>
      <w:r>
        <w:t>The proposal would support care for patients younger than 18, subject to New York requirements. Treatment would need to be delivered by qualified providers and follow rules around clinical standards and parental consent.</w:t>
      </w:r>
      <w:r/>
    </w:p>
    <w:p>
      <w:r/>
      <w:r>
        <w:t>For families, the most important benefit may be continuity. Gender-affirming healthcare can involve assessments, prescriptions, monitoring and follow-up appointments rather than a single visit. When one provider stops offering a service, transferring care can feel like trying to rebuild a medical history while time-sensitive decisions keep moving.</w:t>
      </w:r>
      <w:r/>
    </w:p>
    <w:p>
      <w:r/>
      <w:r>
        <w:t>This is also why families should check the practical details before choosing a clinic. Ask whether the provider treats young people of the relevant age, which services it offers directly, how referrals work, what consent documentation is needed and whether waiting lists apply.</w:t>
      </w:r>
      <w:r/>
    </w:p>
    <w:p>
      <w:r/>
      <w:r>
        <w:t xml:space="preserve">The wider dispute has also raised concerns about medical privacy. Courts have been asked to consider whether federal investigators can obtain identifying and healthcare information relating to transgender patients. The Guardian and other reports have covered the growing conflict between government investigations, patient confidentiality and access to care. </w:t>
      </w:r>
      <w:hyperlink r:id="rId12">
        <w:r>
          <w:rPr>
            <w:color w:val="0000EE"/>
            <w:u w:val="single"/>
          </w:rPr>
          <w:t>[2]</w:t>
        </w:r>
      </w:hyperlink>
      <w:r/>
    </w:p>
    <w:p>
      <w:pPr>
        <w:pStyle w:val="Heading2"/>
      </w:pPr>
      <w:r>
        <w:t>A local policy answer to a national fight</w:t>
      </w:r>
      <w:r/>
    </w:p>
    <w:p>
      <w:r/>
      <w:r>
        <w:t>New York City’s approach places municipal funding on one side of a widening political divide. Federal officials have argued that investigations are needed to examine possible healthcare-law and billing violations, while LGBTQ rights groups and affected families say the pressure is being used to restrict lawful treatment.</w:t>
      </w:r>
      <w:r/>
    </w:p>
    <w:p>
      <w:r/>
      <w:r>
        <w:t xml:space="preserve">The settlements involving major providers have sharpened that argument. National Review reported the agreements as a significant federal victory, while other outlets presented them as evidence of hospitals retreating under pressure. </w:t>
      </w:r>
      <w:hyperlink r:id="rId13">
        <w:r>
          <w:rPr>
            <w:color w:val="0000EE"/>
            <w:u w:val="single"/>
          </w:rPr>
          <w:t>[4]</w:t>
        </w:r>
      </w:hyperlink>
      <w:r>
        <w:t xml:space="preserve"> The same events can therefore look very different depending on whether the focus is enforcement, clinical access or patient rights.</w:t>
      </w:r>
      <w:r/>
    </w:p>
    <w:p>
      <w:r/>
      <w:r>
        <w:t>Other organisations may also have an opportunity to participate in the city’s programme. The notice invites eligible vendors to submit an expression of interest, suggesting the final provider landscape could be broader than the two organisations initially highlighted.</w:t>
      </w:r>
      <w:r/>
    </w:p>
    <w:p>
      <w:r/>
      <w:r>
        <w:t>For families, that could mean more choice and fewer sudden breaks in care. For providers, it could mean a rare source of stability in a field where policy changes can arrive faster than healthcare systems can adapt.</w:t>
      </w:r>
      <w:r/>
    </w:p>
    <w:p>
      <w:r/>
      <w:r>
        <w:t>New York’s proposed funding is a small but significant attempt to keep the door open.</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12">
        <w:r>
          <w:rPr>
            <w:color w:val="0000EE"/>
            <w:u w:val="single"/>
          </w:rPr>
          <w:t>[2]</w:t>
        </w:r>
      </w:hyperlink>
      <w:r>
        <w:t xml:space="preserve">, </w:t>
      </w:r>
      <w:hyperlink r:id="rId9">
        <w:r>
          <w:rPr>
            <w:color w:val="0000EE"/>
            <w:u w:val="single"/>
          </w:rPr>
          <w:t>[5]</w:t>
        </w:r>
      </w:hyperlink>
      <w:r>
        <w:t xml:space="preserve">- Paragraph 2: </w:t>
      </w:r>
      <w:hyperlink r:id="rId10">
        <w:r>
          <w:rPr>
            <w:color w:val="0000EE"/>
            <w:u w:val="single"/>
          </w:rPr>
          <w:t>[3]</w:t>
        </w:r>
      </w:hyperlink>
      <w:r>
        <w:t xml:space="preserve">, </w:t>
      </w:r>
      <w:hyperlink r:id="rId13">
        <w:r>
          <w:rPr>
            <w:color w:val="0000EE"/>
            <w:u w:val="single"/>
          </w:rPr>
          <w:t>[4]</w:t>
        </w:r>
      </w:hyperlink>
      <w:r>
        <w:t xml:space="preserve">- Paragraph 3: </w:t>
      </w:r>
      <w:hyperlink r:id="rId9">
        <w:r>
          <w:rPr>
            <w:color w:val="0000EE"/>
            <w:u w:val="single"/>
          </w:rPr>
          <w:t>[5]</w:t>
        </w:r>
      </w:hyperlink>
      <w:r>
        <w:t xml:space="preserve">, </w:t>
      </w:r>
      <w:hyperlink r:id="rId11">
        <w:r>
          <w:rPr>
            <w:color w:val="0000EE"/>
            <w:u w:val="single"/>
          </w:rPr>
          <w:t>[6]</w:t>
        </w:r>
      </w:hyperlink>
      <w:r>
        <w:t xml:space="preserve">- Paragraph 4: </w:t>
      </w:r>
      <w:hyperlink r:id="rId12">
        <w:r>
          <w:rPr>
            <w:color w:val="0000EE"/>
            <w:u w:val="single"/>
          </w:rPr>
          <w:t>[2]</w:t>
        </w:r>
      </w:hyperlink>
      <w:r>
        <w:t xml:space="preserve">, </w:t>
      </w:r>
      <w:hyperlink r:id="rId15">
        <w:r>
          <w:rPr>
            <w:color w:val="0000EE"/>
            <w:u w:val="single"/>
          </w:rPr>
          <w:t>[7]</w:t>
        </w:r>
      </w:hyperlink>
      <w:r>
        <w:t xml:space="preserve">- Paragraph 5: </w:t>
      </w:r>
      <w:hyperlink r:id="rId10">
        <w:r>
          <w:rPr>
            <w:color w:val="0000EE"/>
            <w:u w:val="single"/>
          </w:rPr>
          <w:t>[3]</w:t>
        </w:r>
      </w:hyperlink>
      <w:r>
        <w:t xml:space="preserve">, </w:t>
      </w:r>
      <w:hyperlink r:id="rId11">
        <w:r>
          <w:rPr>
            <w:color w:val="0000EE"/>
            <w:u w:val="single"/>
          </w:rPr>
          <w:t>[6]</w:t>
        </w:r>
      </w:hyperlink>
      <w:r>
        <w:t xml:space="preserve">- Paragraph 6: </w:t>
      </w:r>
      <w:hyperlink r:id="rId13">
        <w:r>
          <w:rPr>
            <w:color w:val="0000EE"/>
            <w:u w:val="single"/>
          </w:rPr>
          <w:t>[4]</w:t>
        </w:r>
      </w:hyperlink>
      <w:r>
        <w:t xml:space="preserve">, </w:t>
      </w:r>
      <w:hyperlink r:id="rId15">
        <w:r>
          <w:rPr>
            <w:color w:val="0000EE"/>
            <w:u w:val="single"/>
          </w:rPr>
          <w:t>[7]</w:t>
        </w:r>
      </w:hyperlink>
      <w:r>
        <w:t xml:space="preserve">- Paragraph 7: </w:t>
      </w:r>
      <w:hyperlink r:id="rId12">
        <w:r>
          <w:rPr>
            <w:color w:val="0000EE"/>
            <w:u w:val="single"/>
          </w:rPr>
          <w:t>[2]</w:t>
        </w:r>
      </w:hyperlink>
      <w:r>
        <w:t xml:space="preserve">, </w:t>
      </w:r>
      <w:hyperlink r:id="rId9">
        <w:r>
          <w:rPr>
            <w:color w:val="0000EE"/>
            <w:u w:val="single"/>
          </w:rPr>
          <w:t>[5]</w:t>
        </w:r>
      </w:hyperlink>
      <w:r>
        <w:t xml:space="preserve">- Paragraph 8: </w:t>
      </w:r>
      <w:hyperlink r:id="rId10">
        <w:r>
          <w:rPr>
            <w:color w:val="0000EE"/>
            <w:u w:val="single"/>
          </w:rPr>
          <w:t>[3]</w:t>
        </w:r>
      </w:hyperlink>
      <w:r>
        <w:t xml:space="preserve">, </w:t>
      </w:r>
      <w:hyperlink r:id="rId11">
        <w:r>
          <w:rPr>
            <w:color w:val="0000EE"/>
            <w:u w:val="single"/>
          </w:rPr>
          <w:t>[6]</w:t>
        </w:r>
      </w:hyperlink>
      <w:r>
        <w:t xml:space="preserve">- Paragraph 9: </w:t>
      </w:r>
      <w:hyperlink r:id="rId12">
        <w:r>
          <w:rPr>
            <w:color w:val="0000EE"/>
            <w:u w:val="single"/>
          </w:rPr>
          <w:t>[2]</w:t>
        </w:r>
      </w:hyperlink>
      <w:r>
        <w:t xml:space="preserve">, </w:t>
      </w:r>
      <w:hyperlink r:id="rId15">
        <w:r>
          <w:rPr>
            <w:color w:val="0000EE"/>
            <w:u w:val="single"/>
          </w:rPr>
          <w:t>[7]</w:t>
        </w:r>
      </w:hyperlink>
      <w:r>
        <w:t xml:space="preserve">- Paragraph 10: </w:t>
      </w:r>
      <w:hyperlink r:id="rId13">
        <w:r>
          <w:rPr>
            <w:color w:val="0000EE"/>
            <w:u w:val="single"/>
          </w:rPr>
          <w:t>[4]</w:t>
        </w:r>
      </w:hyperlink>
      <w:r>
        <w:t xml:space="preserve">, </w:t>
      </w:r>
      <w:hyperlink r:id="rId9">
        <w:r>
          <w:rPr>
            <w:color w:val="0000EE"/>
            <w:u w:val="single"/>
          </w:rPr>
          <w:t>[5]</w:t>
        </w:r>
      </w:hyperlink>
      <w:r>
        <w:t xml:space="preserve">- Paragraph 11: </w:t>
      </w:r>
      <w:hyperlink r:id="rId10">
        <w:r>
          <w:rPr>
            <w:color w:val="0000EE"/>
            <w:u w:val="single"/>
          </w:rPr>
          <w:t>[3]</w:t>
        </w:r>
      </w:hyperlink>
      <w:r>
        <w:t xml:space="preserve">, </w:t>
      </w:r>
      <w:hyperlink r:id="rId15">
        <w:r>
          <w:rPr>
            <w:color w:val="0000EE"/>
            <w:u w:val="single"/>
          </w:rPr>
          <w:t>[7]</w:t>
        </w:r>
      </w:hyperlink>
      <w:r>
        <w:t xml:space="preserve">- Paragraph 12: </w:t>
      </w:r>
      <w:hyperlink r:id="rId12">
        <w:r>
          <w:rPr>
            <w:color w:val="0000EE"/>
            <w:u w:val="single"/>
          </w:rPr>
          <w:t>[2]</w:t>
        </w:r>
      </w:hyperlink>
      <w:r>
        <w:t xml:space="preserve">, </w:t>
      </w:r>
      <w:hyperlink r:id="rId13">
        <w:r>
          <w:rPr>
            <w:color w:val="0000EE"/>
            <w:u w:val="single"/>
          </w:rPr>
          <w:t>[4]</w:t>
        </w:r>
      </w:hyperlink>
      <w:r>
        <w:t xml:space="preserve">- Paragraph 13: </w:t>
      </w:r>
      <w:hyperlink r:id="rId9">
        <w:r>
          <w:rPr>
            <w:color w:val="0000EE"/>
            <w:u w:val="single"/>
          </w:rPr>
          <w:t>[5]</w:t>
        </w:r>
      </w:hyperlink>
      <w:r>
        <w:t xml:space="preserve">, </w:t>
      </w:r>
      <w:hyperlink r:id="rId11">
        <w:r>
          <w:rPr>
            <w:color w:val="0000EE"/>
            <w:u w:val="single"/>
          </w:rPr>
          <w:t>[6]</w:t>
        </w:r>
      </w:hyperlink>
      <w:r>
        <w:t xml:space="preserve">- Paragraph 14: </w:t>
      </w:r>
      <w:hyperlink r:id="rId10">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https://jrlcharts.com/2026/10/06/nyc-puts-8-9-million-behind-trans-youth-care-after-major-hospitals-back-away/</w:t>
        </w:r>
      </w:hyperlink>
      <w:r>
        <w:t xml:space="preserve"> - Please view link - unable to able to access data</w:t>
      </w:r>
      <w:r/>
    </w:p>
    <w:p>
      <w:pPr>
        <w:pStyle w:val="ListNumber"/>
        <w:spacing w:line="240" w:lineRule="auto"/>
        <w:ind w:left="720"/>
      </w:pPr>
      <w:r/>
      <w:hyperlink r:id="rId12">
        <w:r>
          <w:rPr>
            <w:color w:val="0000EE"/>
            <w:u w:val="single"/>
          </w:rPr>
          <w:t>https://www.theguardian.com/us-news/2026/feb/18/nyc-nyu-langone-hospital-trans-care</w:t>
        </w:r>
      </w:hyperlink>
      <w:r>
        <w:t xml:space="preserve"> - In February 2026, NYU Langone Health announced the cessation of its Transgender Youth Health Program, citing the departure of its medical director and the prevailing regulatory environment. This decision aligns with the Trump administration's escalating threats to withdraw federal funding from providers offering gender-affirming care to transgender youth. The move has raised concerns about the future of such services in New York City.</w:t>
      </w:r>
      <w:r/>
    </w:p>
    <w:p>
      <w:pPr>
        <w:pStyle w:val="ListNumber"/>
        <w:spacing w:line="240" w:lineRule="auto"/>
        <w:ind w:left="720"/>
      </w:pPr>
      <w:r/>
      <w:hyperlink r:id="rId10">
        <w:r>
          <w:rPr>
            <w:color w:val="0000EE"/>
            <w:u w:val="single"/>
          </w:rPr>
          <w:t>https://www.cbsnews.com/newyork/news/nyu-langone-ending-gender-affirming-care-for-minors/</w:t>
        </w:r>
      </w:hyperlink>
      <w:r>
        <w:t xml:space="preserve"> - In September 2026, NYU Langone Health reached an agreement with the U.S. Department of Justice to discontinue gender-affirming care for minors. The hospital agreed to pay $8.5 million to settle the dispute, with the decision attributed to the current regulatory environment and the departure of a key medical director. The hospital emphasized its commitment to patient care while ceasing specific treatments for minors.</w:t>
      </w:r>
      <w:r/>
    </w:p>
    <w:p>
      <w:pPr>
        <w:pStyle w:val="ListNumber"/>
        <w:spacing w:line="240" w:lineRule="auto"/>
        <w:ind w:left="720"/>
      </w:pPr>
      <w:r/>
      <w:hyperlink r:id="rId13">
        <w:r>
          <w:rPr>
            <w:color w:val="0000EE"/>
            <w:u w:val="single"/>
          </w:rPr>
          <w:t>https://www.nationalreview.com/news/two-major-health-care-systems-reach-agreement-with-doj-to-end-gender-affirming-care-for-minors/amp/</w:t>
        </w:r>
      </w:hyperlink>
      <w:r>
        <w:t xml:space="preserve"> - In September 2026, NYU Langone and the University of Pittsburgh Medical Center (UPMC) agreed to cease providing gender-affirming care to minors as part of a settlement with the Department of Justice. The agreement also required the hospital systems to pay fines for allegedly violating federal law by performing certain procedures on minors. Neither hospital admitted wrongdoing as part of the agreement.</w:t>
      </w:r>
      <w:r/>
    </w:p>
    <w:p>
      <w:pPr>
        <w:pStyle w:val="ListNumber"/>
        <w:spacing w:line="240" w:lineRule="auto"/>
        <w:ind w:left="720"/>
      </w:pPr>
      <w:r/>
      <w:hyperlink r:id="rId9">
        <w:r>
          <w:rPr>
            <w:color w:val="0000EE"/>
            <w:u w:val="single"/>
          </w:rPr>
          <w:t>https://wisevoter.com/world/us/ny/new-york-city/2026/10/06/nyc-youth-gender-care-contract</w:t>
        </w:r>
      </w:hyperlink>
      <w:r>
        <w:t xml:space="preserve"> - In October 2026, the New York City Department of Health and Mental Hygiene initiated a procurement process for an $8.9 million contract to provide youth gender-affirming care. This move aims to maintain access to hormone therapy and puberty-blocking medications for transgender youth in the city, following the cessation of similar services at major private hospitals under federal pressure.</w:t>
      </w:r>
      <w:r/>
    </w:p>
    <w:p>
      <w:pPr>
        <w:pStyle w:val="ListNumber"/>
        <w:spacing w:line="240" w:lineRule="auto"/>
        <w:ind w:left="720"/>
      </w:pPr>
      <w:r/>
      <w:hyperlink r:id="rId11">
        <w:r>
          <w:rPr>
            <w:color w:val="0000EE"/>
            <w:u w:val="single"/>
          </w:rPr>
          <w:t>https://ny1.com/nyc/all-boroughs/news/2026/09/21/nyu-langone-to-end-gender-affirming-care-for-minors-in-deal-with-doj</w:t>
        </w:r>
      </w:hyperlink>
      <w:r>
        <w:t xml:space="preserve"> - In September 2026, NYU Langone Health agreed to end gender-affirming care for minors in a deal with the Department of Justice. The hospital system also agreed to pay $8.5 million as part of the resolution. Under the deal, NYU will cease providing certain interventions to minors, including administering puberty blockers and cross-sex hormones, and performing surgical procedures.</w:t>
      </w:r>
      <w:r/>
    </w:p>
    <w:p>
      <w:pPr>
        <w:pStyle w:val="ListNumber"/>
        <w:spacing w:line="240" w:lineRule="auto"/>
        <w:ind w:left="720"/>
      </w:pPr>
      <w:r/>
      <w:hyperlink r:id="rId15">
        <w:r>
          <w:rPr>
            <w:color w:val="0000EE"/>
            <w:u w:val="single"/>
          </w:rPr>
          <w:t>https://davisvanguard.org/2026/09/nyu-langone-doj-settlement/</w:t>
        </w:r>
      </w:hyperlink>
      <w:r>
        <w:t xml:space="preserve"> - In September 2026, NYU Langone Health settled with the U.S. Department of Justice, ending the hospital system’s provision of gender-affirming care to patients under 18. The settlement resolves a Justice Department investigation into NYU Langone’s provision of gender-affirming care to minors. As part of the agreement, NYU Langone will pay $8.5 million and stop providing certain treatments to patients under 18.</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isevoter.com/world/us/ny/new-york-city/2026/10/06/nyc-youth-gender-care-contract" TargetMode="External"/><Relationship Id="rId10" Type="http://schemas.openxmlformats.org/officeDocument/2006/relationships/hyperlink" Target="https://www.cbsnews.com/newyork/news/nyu-langone-ending-gender-affirming-care-for-minors/" TargetMode="External"/><Relationship Id="rId11" Type="http://schemas.openxmlformats.org/officeDocument/2006/relationships/hyperlink" Target="https://ny1.com/nyc/all-boroughs/news/2026/09/21/nyu-langone-to-end-gender-affirming-care-for-minors-in-deal-with-doj" TargetMode="External"/><Relationship Id="rId12" Type="http://schemas.openxmlformats.org/officeDocument/2006/relationships/hyperlink" Target="https://www.theguardian.com/us-news/2026/feb/18/nyc-nyu-langone-hospital-trans-care" TargetMode="External"/><Relationship Id="rId13" Type="http://schemas.openxmlformats.org/officeDocument/2006/relationships/hyperlink" Target="https://www.nationalreview.com/news/two-major-health-care-systems-reach-agreement-with-doj-to-end-gender-affirming-care-for-minors/amp/" TargetMode="External"/><Relationship Id="rId14" Type="http://schemas.openxmlformats.org/officeDocument/2006/relationships/hyperlink" Target="https://jrlcharts.com/2026/10/06/nyc-puts-8-9-million-behind-trans-youth-care-after-major-hospitals-back-away/" TargetMode="External"/><Relationship Id="rId15" Type="http://schemas.openxmlformats.org/officeDocument/2006/relationships/hyperlink" Target="https://davisvanguard.org/2026/09/nyu-langone-doj-settl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