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Study Links Anti-Trans Media Exposure With Mental Health Risks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Researchers in Australia have found that frequent exposure to anti-trans content across news and social media is associated with higher rates of anxiety, depression, self-harm thoughts and suicidal thinking among trans and gender-diverse people. The findings highlight the emotional cost of hostile online spaces, while pointing towards stronger media standards and platform protections.</w:t>
      </w:r>
      <w:r/>
    </w:p>
    <w:p>
      <w:pPr>
        <w:pStyle w:val="Heading2"/>
      </w:pPr>
      <w:r>
        <w:t>Essential Takeaways</w:t>
      </w:r>
      <w:r/>
      <w:r/>
    </w:p>
    <w:p>
      <w:pPr>
        <w:pStyle w:val="ListBullet"/>
        <w:spacing w:line="240" w:lineRule="auto"/>
        <w:ind w:left="720"/>
      </w:pPr>
      <w:r/>
      <w:r>
        <w:rPr>
          <w:b/>
        </w:rPr>
        <w:t>Frequent exposure matters:</w:t>
      </w:r>
      <w:r>
        <w:t xml:space="preserve"> More than 70 per cent of participants had encountered anti-trans remarks online several times a week.</w:t>
      </w:r>
      <w:r/>
    </w:p>
    <w:p>
      <w:pPr>
        <w:pStyle w:val="ListBullet"/>
        <w:spacing w:line="240" w:lineRule="auto"/>
        <w:ind w:left="720"/>
      </w:pPr>
      <w:r/>
      <w:r>
        <w:rPr>
          <w:b/>
        </w:rPr>
        <w:t>Mental health risks were higher:</w:t>
      </w:r>
      <w:r>
        <w:t xml:space="preserve"> Regular exposure was associated with increased reports of anxiety, depression, self-harm and suicidal thoughts.</w:t>
      </w:r>
      <w:r/>
    </w:p>
    <w:p>
      <w:pPr>
        <w:pStyle w:val="ListBullet"/>
        <w:spacing w:line="240" w:lineRule="auto"/>
        <w:ind w:left="720"/>
      </w:pPr>
      <w:r/>
      <w:r>
        <w:rPr>
          <w:b/>
        </w:rPr>
        <w:t>The research was substantial:</w:t>
      </w:r>
      <w:r>
        <w:t xml:space="preserve"> The Australian study surveyed 807 trans and gender-diverse people aged 16 and over.</w:t>
      </w:r>
      <w:r/>
    </w:p>
    <w:p>
      <w:pPr>
        <w:pStyle w:val="ListBullet"/>
        <w:spacing w:line="240" w:lineRule="auto"/>
        <w:ind w:left="720"/>
      </w:pPr>
      <w:r/>
      <w:r>
        <w:rPr>
          <w:b/>
        </w:rPr>
        <w:t>Avoidance has a cost:</w:t>
      </w:r>
      <w:r>
        <w:t xml:space="preserve"> Three-quarters of participants had reduced their news use to escape harmful material, potentially losing useful information and community.</w:t>
      </w:r>
      <w:r/>
    </w:p>
    <w:p>
      <w:pPr>
        <w:pStyle w:val="ListBullet"/>
        <w:spacing w:line="240" w:lineRule="auto"/>
        <w:ind w:left="720"/>
      </w:pPr>
      <w:r/>
      <w:r>
        <w:rPr>
          <w:b/>
        </w:rPr>
        <w:t>Researchers want action:</w:t>
      </w:r>
      <w:r>
        <w:t xml:space="preserve"> Proposed responses include tougher media rules, stronger platform safeguards and faster intervention by regulators.</w:t>
      </w:r>
      <w:r/>
      <w:r/>
    </w:p>
    <w:p>
      <w:pPr>
        <w:pStyle w:val="Heading2"/>
      </w:pPr>
      <w:r>
        <w:t>Hostile content is difficult to escape</w:t>
      </w:r>
      <w:r/>
    </w:p>
    <w:p>
      <w:r/>
      <w:r>
        <w:t>The sharpest finding is also the most unsettling: anti-trans material appears to be woven into everyday media use. More than seven in ten people surveyed said they'd seen or heard such remarks online multiple times during the previous month, according to the ABC's report on the research.</w:t>
      </w:r>
      <w:r/>
    </w:p>
    <w:p>
      <w:r/>
      <w:r>
        <w:t>For someone simply trying to read the news, keep in touch or scroll through a social feed, that can make the digital world feel less like a public square and more like a room where the volume never drops. Participants described the material as relentless and hard to avoid, a pattern consistent with wider research on minority stress and online harassment (PubMed).</w:t>
      </w:r>
      <w:r/>
    </w:p>
    <w:p>
      <w:r/>
      <w:r>
        <w:t>The study, published in Frontiers in Public Health, found an association rather than proof that media exposure directly caused particular mental health outcomes. Even so, the pattern was strong enough to concern researchers and clinicians, especially because it reflects experiences already reported by trans communities (PubMed).</w:t>
      </w:r>
      <w:r/>
    </w:p>
    <w:p>
      <w:pPr>
        <w:pStyle w:val="Heading2"/>
      </w:pPr>
      <w:r>
        <w:t>The numbers reveal a troubling pattern</w:t>
      </w:r>
      <w:r/>
    </w:p>
    <w:p>
      <w:r/>
      <w:r>
        <w:t>Participants who encountered anti-trans remarks in news media several times a week were 37 per cent more likely to report anxiety and 25 per cent more likely to report depression than those exposed less often. They were also more likely to report self-harm thoughts, self-harm behaviour and suicidal thinking, with suicide planning showing the largest reported increase.</w:t>
      </w:r>
      <w:r/>
    </w:p>
    <w:p>
      <w:r/>
      <w:r>
        <w:t>Those figures don't mean every person exposed to hostile content will experience a mental health crisis. They do, however, show why repeated exposure matters. Research into LGBTQ+ young people's wellbeing has repeatedly linked discrimination, rejection and hostile environments with poorer outcomes, while supportive relationships can offer an important buffer (SAGE Journals).</w:t>
      </w:r>
      <w:r/>
    </w:p>
    <w:p>
      <w:r/>
      <w:r>
        <w:t>The Australian researchers also noted that the results weren't surprising to many participants. That may be the most human detail in the findings: the data put numbers around a burden that people had already been carrying in their daily lives.</w:t>
      </w:r>
      <w:r/>
    </w:p>
    <w:p>
      <w:pPr>
        <w:pStyle w:val="Heading2"/>
      </w:pPr>
      <w:r>
        <w:t>Why switching off isn't a simple solution</w:t>
      </w:r>
      <w:r/>
    </w:p>
    <w:p>
      <w:r/>
      <w:r>
        <w:t>Many participants tried to protect themselves by stepping back from the news. Around three-quarters said they'd cut back on news media to avoid harmful coverage, according to the ABC.</w:t>
      </w:r>
      <w:r/>
    </w:p>
    <w:p>
      <w:r/>
      <w:r>
        <w:t>That response makes complete sense. Nobody has to volunteer for a daily dose of hostility. But withdrawing entirely can also mean missing public information, political developments, health guidance and affirming communities. For younger people in particular, online spaces may be among the few places where they can find peers who understand their experiences.</w:t>
      </w:r>
      <w:r/>
    </w:p>
    <w:p>
      <w:r/>
      <w:r>
        <w:t>Studies of digital environments suggest the answer isn't simply telling vulnerable users to log off. Platform design, moderation and the wider tone of public debate all shape how safe online participation feels, particularly for marginalised groups (Springer Nature).</w:t>
      </w:r>
      <w:r/>
    </w:p>
    <w:p>
      <w:pPr>
        <w:pStyle w:val="Heading2"/>
      </w:pPr>
      <w:r>
        <w:t>What can platforms and publishers do?</w:t>
      </w:r>
      <w:r/>
    </w:p>
    <w:p>
      <w:r/>
      <w:r>
        <w:t>The researchers are calling for media organisations to take greater responsibility for material that targets trans people, alongside stronger protections from social media companies. Australia's existing broadcasting rules prohibit content that incites hatred, serious contempt or severe ridicule based on characteristics including transgender status, but researchers want clearer enforcement and meaningful penalties.</w:t>
      </w:r>
      <w:r/>
    </w:p>
    <w:p>
      <w:r/>
      <w:r>
        <w:t>The federal government has also said proposed digital duty-of-care laws would require online services to take a more proactive approach to preventing harm. The eSafety Commissioner is expected to gain stronger powers to respond to cyber-abuse and bullying, according to the ABC's reporting.</w:t>
      </w:r>
      <w:r/>
    </w:p>
    <w:p>
      <w:r/>
      <w:r>
        <w:t>That shift matters because reporting harmful content after it has spread places the burden on the people already being targeted. Better moderation, less sensational framing and careful decisions about headlines and repetition could reduce exposure without silencing legitimate reporting.</w:t>
      </w:r>
      <w:r/>
    </w:p>
    <w:p>
      <w:pPr>
        <w:pStyle w:val="Heading2"/>
      </w:pPr>
      <w:r>
        <w:t>Safer media habits can help, but responsibility shouldn't sit with users</w:t>
      </w:r>
      <w:r/>
    </w:p>
    <w:p>
      <w:r/>
      <w:r>
        <w:t>Individuals can still take practical steps. Curating feeds, muting recurring keywords, blocking accounts and choosing reliable outlets can make online spaces quieter. It can also help to set a news window rather than checking continuously, and to switch to a trusted person or support service if content starts to feel overwhelming.</w:t>
      </w:r>
      <w:r/>
    </w:p>
    <w:p>
      <w:r/>
      <w:r>
        <w:t>Those strategies are useful, but they shouldn't become an excuse for platforms or publishers to shrug. Research on online abuse shows that the design of digital spaces and the speed of moderation influence whether harmful behaviour spreads or fades (arXiv).</w:t>
      </w:r>
      <w:r/>
    </w:p>
    <w:p>
      <w:r/>
      <w:r>
        <w:t>For trans and gender-diverse people, the findings offer recognition as much as warning. The problem isn't being too sensitive to criticism; repeated exposure to discrimination can wear down anyone's sense of safety. A healthier media environment would let people stay informed and connected without having to choose between awareness and wellbeing.</w:t>
      </w:r>
      <w:r/>
    </w:p>
    <w:p>
      <w:r/>
      <w:r>
        <w:t>It's a small mercy when the news doesn't make you brace yourself first.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0">
        <w:r>
          <w:rPr>
            <w:color w:val="0000EE"/>
            <w:u w:val="single"/>
          </w:rPr>
          <w:t>[3]</w:t>
        </w:r>
      </w:hyperlink>
      <w:r>
        <w:t xml:space="preserve">, </w:t>
      </w:r>
      <w:hyperlink r:id="rId12">
        <w:r>
          <w:rPr>
            <w:color w:val="0000EE"/>
            <w:u w:val="single"/>
          </w:rPr>
          <w:t>[5]</w:t>
        </w:r>
      </w:hyperlink>
      <w:r>
        <w:t xml:space="preserve">- Paragraph 4: </w:t>
      </w:r>
      <w:hyperlink r:id="rId9">
        <w:r>
          <w:rPr>
            <w:color w:val="0000EE"/>
            <w:u w:val="single"/>
          </w:rPr>
          <w:t>[2]</w:t>
        </w:r>
      </w:hyperlink>
      <w:r>
        <w:t xml:space="preserve">, </w:t>
      </w:r>
      <w:hyperlink r:id="rId13">
        <w:r>
          <w:rPr>
            <w:color w:val="0000EE"/>
            <w:u w:val="single"/>
          </w:rPr>
          <w:t>[6]</w:t>
        </w:r>
      </w:hyperlink>
      <w:r>
        <w:t xml:space="preserve">- Paragraph 5: </w:t>
      </w:r>
      <w:hyperlink r:id="rId9">
        <w:r>
          <w:rPr>
            <w:color w:val="0000EE"/>
            <w:u w:val="single"/>
          </w:rPr>
          <w:t>[2]</w:t>
        </w:r>
      </w:hyperlink>
      <w:r>
        <w:t xml:space="preserve">, </w:t>
      </w:r>
      <w:hyperlink r:id="rId11">
        <w:r>
          <w:rPr>
            <w:color w:val="0000EE"/>
            <w:u w:val="single"/>
          </w:rPr>
          <w:t>[4]</w:t>
        </w:r>
      </w:hyperlink>
      <w:r>
        <w:t xml:space="preserve">- Paragraph 6: </w:t>
      </w:r>
      <w:hyperlink r:id="rId12">
        <w:r>
          <w:rPr>
            <w:color w:val="0000EE"/>
            <w:u w:val="single"/>
          </w:rPr>
          <w:t>[5]</w:t>
        </w:r>
      </w:hyperlink>
      <w:r>
        <w:t xml:space="preserve">, </w:t>
      </w:r>
      <w:hyperlink r:id="rId13">
        <w:r>
          <w:rPr>
            <w:color w:val="0000EE"/>
            <w:u w:val="single"/>
          </w:rPr>
          <w:t>[6]</w:t>
        </w:r>
      </w:hyperlink>
      <w:r>
        <w:t xml:space="preserve">- Paragraph 7: </w:t>
      </w:r>
      <w:hyperlink r:id="rId9">
        <w:r>
          <w:rPr>
            <w:color w:val="0000EE"/>
            <w:u w:val="single"/>
          </w:rPr>
          <w:t>[2]</w:t>
        </w:r>
      </w:hyperlink>
      <w:r>
        <w:t xml:space="preserve">, </w:t>
      </w:r>
      <w:hyperlink r:id="rId13">
        <w:r>
          <w:rPr>
            <w:color w:val="0000EE"/>
            <w:u w:val="single"/>
          </w:rPr>
          <w:t>[6]</w:t>
        </w:r>
      </w:hyperlink>
      <w:r>
        <w:t xml:space="preserve">- Paragraph 8: </w:t>
      </w:r>
      <w:hyperlink r:id="rId9">
        <w:r>
          <w:rPr>
            <w:color w:val="0000EE"/>
            <w:u w:val="single"/>
          </w:rPr>
          <w:t>[2]</w:t>
        </w:r>
      </w:hyperlink>
      <w:r>
        <w:t xml:space="preserve">, </w:t>
      </w:r>
      <w:hyperlink r:id="rId14">
        <w:r>
          <w:rPr>
            <w:color w:val="0000EE"/>
            <w:u w:val="single"/>
          </w:rPr>
          <w:t>[7]</w:t>
        </w:r>
      </w:hyperlink>
      <w:r>
        <w:t xml:space="preserve">- Paragraph 9: </w:t>
      </w:r>
      <w:hyperlink r:id="rId14">
        <w:r>
          <w:rPr>
            <w:color w:val="0000EE"/>
            <w:u w:val="single"/>
          </w:rPr>
          <w:t>[7]</w:t>
        </w:r>
      </w:hyperlink>
      <w:r>
        <w:t xml:space="preserve">, </w:t>
      </w:r>
      <w:hyperlink r:id="rId11">
        <w:r>
          <w:rPr>
            <w:color w:val="0000EE"/>
            <w:u w:val="single"/>
          </w:rPr>
          <w:t>[4]</w:t>
        </w:r>
      </w:hyperlink>
      <w:r>
        <w:t xml:space="preserve">- Paragraph 10: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https://www.abc.net.au/news/health/2026-10-05/trans-mental-health-social-media-exposure/107184252</w:t>
        </w:r>
      </w:hyperlink>
      <w:r>
        <w:t xml:space="preserve"> - Please view link - unable to able to access data</w:t>
      </w:r>
      <w:r/>
    </w:p>
    <w:p>
      <w:pPr>
        <w:pStyle w:val="ListNumber"/>
        <w:spacing w:line="240" w:lineRule="auto"/>
        <w:ind w:left="720"/>
      </w:pPr>
      <w:r/>
      <w:hyperlink r:id="rId9">
        <w:r>
          <w:rPr>
            <w:color w:val="0000EE"/>
            <w:u w:val="single"/>
          </w:rPr>
          <w:t>https://www.abc.net.au/news/health/2026-10-05/trans-mental-health-social-media-exposure/107184252</w:t>
        </w:r>
      </w:hyperlink>
      <w:r>
        <w:t xml:space="preserve"> - An Australian study has found that increased exposure to anti-trans stigma correlates with higher rates of anxiety, depression, self-harm thoughts, and suicidal thoughts among trans and gender-diverse individuals. The study surveyed 807 participants aged 16 and over, revealing that over 70% encountered anti-trans remarks online multiple times weekly. The findings highlight the significant impact of negative media exposure on mental health within the trans community.</w:t>
      </w:r>
      <w:r/>
    </w:p>
    <w:p>
      <w:pPr>
        <w:pStyle w:val="ListNumber"/>
        <w:spacing w:line="240" w:lineRule="auto"/>
        <w:ind w:left="720"/>
      </w:pPr>
      <w:r/>
      <w:hyperlink r:id="rId10">
        <w:r>
          <w:rPr>
            <w:color w:val="0000EE"/>
            <w:u w:val="single"/>
          </w:rPr>
          <w:t>https://pubmed.ncbi.nlm.nih.gov/42597283/</w:t>
        </w:r>
      </w:hyperlink>
      <w:r>
        <w:t xml:space="preserve"> - This mixed-methods study examines the mental health impacts of anti-trans stigma on transgender individuals in Australia. The research indicates that frequent exposure to various forms of anti-trans stigma is associated with higher prevalence of anxiety, depression, self-harm ideation, and suicide ideation. The study underscores the urgent need for interventions to mitigate the adverse effects of such stigma on mental health.</w:t>
      </w:r>
      <w:r/>
    </w:p>
    <w:p>
      <w:pPr>
        <w:pStyle w:val="ListNumber"/>
        <w:spacing w:line="240" w:lineRule="auto"/>
        <w:ind w:left="720"/>
      </w:pPr>
      <w:r/>
      <w:hyperlink r:id="rId11">
        <w:r>
          <w:rPr>
            <w:color w:val="0000EE"/>
            <w:u w:val="single"/>
          </w:rPr>
          <w:t>https://pubmed.ncbi.nlm.nih.gov/36129741/</w:t>
        </w:r>
      </w:hyperlink>
      <w:r>
        <w:t xml:space="preserve"> - A systematic review exploring the relationship between social media use and the health and well-being of LGBTQ youth. The study suggests that while social media can provide supportive environments, exposure to negative content may adversely affect mental health. The findings highlight the dual role of social media in both supporting and potentially harming LGBTQ youth.</w:t>
      </w:r>
      <w:r/>
    </w:p>
    <w:p>
      <w:pPr>
        <w:pStyle w:val="ListNumber"/>
        <w:spacing w:line="240" w:lineRule="auto"/>
        <w:ind w:left="720"/>
      </w:pPr>
      <w:r/>
      <w:hyperlink r:id="rId12">
        <w:r>
          <w:rPr>
            <w:color w:val="0000EE"/>
            <w:u w:val="single"/>
          </w:rPr>
          <w:t>https://journals.sagepub.com/doi/10.1089/lgbt.2020.0279</w:t>
        </w:r>
      </w:hyperlink>
      <w:r>
        <w:t xml:space="preserve"> - This study investigates the association between negative transgender-related media messages and adverse mental health outcomes in transgender adults across multiple states. The research found that frequent exposure to negative media messages is linked to higher rates of depression, anxiety, PTSD, and psychological distress, emphasizing the detrimental impact of media portrayals on transgender individuals' mental health.</w:t>
      </w:r>
      <w:r/>
    </w:p>
    <w:p>
      <w:pPr>
        <w:pStyle w:val="ListNumber"/>
        <w:spacing w:line="240" w:lineRule="auto"/>
        <w:ind w:left="720"/>
      </w:pPr>
      <w:r/>
      <w:hyperlink r:id="rId13">
        <w:r>
          <w:rPr>
            <w:color w:val="0000EE"/>
            <w:u w:val="single"/>
          </w:rPr>
          <w:t>https://link.springer.com/article/10.1007/s00787-024-02396-9</w:t>
        </w:r>
      </w:hyperlink>
      <w:r>
        <w:t xml:space="preserve"> - This article examines how social media experiences relate to internalizing mental health problems among transgender and gender-diverse youth. The study found that negative online social experiences are associated with increased risks of depression and anxiety, highlighting the need for supportive online environments to promote mental well-being in this population.</w:t>
      </w:r>
      <w:r/>
    </w:p>
    <w:p>
      <w:pPr>
        <w:pStyle w:val="ListNumber"/>
        <w:spacing w:line="240" w:lineRule="auto"/>
        <w:ind w:left="720"/>
      </w:pPr>
      <w:r/>
      <w:hyperlink r:id="rId14">
        <w:r>
          <w:rPr>
            <w:color w:val="0000EE"/>
            <w:u w:val="single"/>
          </w:rPr>
          <w:t>https://arxiv.org/abs/2302.09885</w:t>
        </w:r>
      </w:hyperlink>
      <w:r>
        <w:t xml:space="preserve"> - This study explores the Papageno effect in social media, focusing on mental health coping stories. The research indicates that engaging with coping stories on platforms like Twitter leads to decreased stress and depression, suggesting that positive mental health narratives can mitigate adverse mental health outcomes in online spaces.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bc.net.au/news/health/2026-10-05/trans-mental-health-social-media-exposure/107184252" TargetMode="External"/><Relationship Id="rId10" Type="http://schemas.openxmlformats.org/officeDocument/2006/relationships/hyperlink" Target="https://pubmed.ncbi.nlm.nih.gov/42597283/" TargetMode="External"/><Relationship Id="rId11" Type="http://schemas.openxmlformats.org/officeDocument/2006/relationships/hyperlink" Target="https://pubmed.ncbi.nlm.nih.gov/36129741/" TargetMode="External"/><Relationship Id="rId12" Type="http://schemas.openxmlformats.org/officeDocument/2006/relationships/hyperlink" Target="https://journals.sagepub.com/doi/10.1089/lgbt.2020.0279" TargetMode="External"/><Relationship Id="rId13" Type="http://schemas.openxmlformats.org/officeDocument/2006/relationships/hyperlink" Target="https://link.springer.com/article/10.1007/s00787-024-02396-9" TargetMode="External"/><Relationship Id="rId14" Type="http://schemas.openxmlformats.org/officeDocument/2006/relationships/hyperlink" Target="https://arxiv.org/abs/2302.0988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