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research shows why inclusive support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support services across Belgium are keeping a close eye on LGBTQ+ discrimination, transgender wellbeing and attitudes among young people. The evidence points to a complicated picture: progress exists, but prejudice has not disappeared. For queer people navigating family, faith, school or public spaces, accessible support remains vital.</w:t>
      </w:r>
      <w:r/>
    </w:p>
    <w:p>
      <w:pPr>
        <w:pStyle w:val="Heading2"/>
      </w:pPr>
      <w:r>
        <w:t>Essential Takeaways</w:t>
      </w:r>
      <w:r/>
      <w:r/>
    </w:p>
    <w:p>
      <w:pPr>
        <w:pStyle w:val="ListBullet"/>
        <w:spacing w:line="240" w:lineRule="auto"/>
        <w:ind w:left="720"/>
      </w:pPr>
      <w:r/>
      <w:r>
        <w:rPr>
          <w:b/>
        </w:rPr>
        <w:t>Prejudice is still measurable:</w:t>
      </w:r>
      <w:r>
        <w:t xml:space="preserve"> Belgian research continues to find that homophobia and transphobia affect everyday life, not just public debate.</w:t>
      </w:r>
      <w:r/>
    </w:p>
    <w:p>
      <w:pPr>
        <w:pStyle w:val="ListBullet"/>
        <w:spacing w:line="240" w:lineRule="auto"/>
        <w:ind w:left="720"/>
      </w:pPr>
      <w:r/>
      <w:r>
        <w:rPr>
          <w:b/>
        </w:rPr>
        <w:t>Young people need trusted adults:</w:t>
      </w:r>
      <w:r>
        <w:t xml:space="preserve"> Family attitudes can shape views on gender and sexuality more powerfully than online content.</w:t>
      </w:r>
      <w:r/>
    </w:p>
    <w:p>
      <w:pPr>
        <w:pStyle w:val="ListBullet"/>
        <w:spacing w:line="240" w:lineRule="auto"/>
        <w:ind w:left="720"/>
      </w:pPr>
      <w:r/>
      <w:r>
        <w:rPr>
          <w:b/>
        </w:rPr>
        <w:t>Experiences differ widely:</w:t>
      </w:r>
      <w:r>
        <w:t xml:space="preserve"> Religion, culture, age, education and social circumstances can influence attitudes, but no community is completely uniform.</w:t>
      </w:r>
      <w:r/>
    </w:p>
    <w:p>
      <w:pPr>
        <w:pStyle w:val="ListBullet"/>
        <w:spacing w:line="240" w:lineRule="auto"/>
        <w:ind w:left="720"/>
      </w:pPr>
      <w:r/>
      <w:r>
        <w:rPr>
          <w:b/>
        </w:rPr>
        <w:t>Specialist support matters:</w:t>
      </w:r>
      <w:r>
        <w:t xml:space="preserve"> Services such as the Transgender Infopunt and hospital gender teams offer practical guidance and care.</w:t>
      </w:r>
      <w:r/>
    </w:p>
    <w:p>
      <w:pPr>
        <w:pStyle w:val="ListBullet"/>
        <w:spacing w:line="240" w:lineRule="auto"/>
        <w:ind w:left="720"/>
      </w:pPr>
      <w:r/>
      <w:r>
        <w:rPr>
          <w:b/>
        </w:rPr>
        <w:t>Better data is needed:</w:t>
      </w:r>
      <w:r>
        <w:t xml:space="preserve"> Under-reporting and inconsistent recording make it difficult to understand the full scale of anti-LGBTQ+ violence.</w:t>
      </w:r>
      <w:r/>
      <w:r/>
    </w:p>
    <w:p>
      <w:pPr>
        <w:pStyle w:val="Heading2"/>
      </w:pPr>
      <w:r>
        <w:t>The numbers tell only part of the story</w:t>
      </w:r>
      <w:r/>
    </w:p>
    <w:p>
      <w:r/>
      <w:r>
        <w:t>Homophobia rarely arrives with a neat label. Sometimes it's a threatening message or a shouted insult; sometimes it's the quieter pressure to hide a partner, change clothes or avoid certain streets. Research from Belgian academics and support organisations shows that discrimination remains a live issue, even as LGBTQ+ rights have become more visible.</w:t>
      </w:r>
      <w:r/>
    </w:p>
    <w:p>
      <w:r/>
      <w:r>
        <w:t>A study published in European Societies examined sexist attitudes among Christian and Muslim young people, highlighting how beliefs about gender and relationships can overlap with wider ideas about social roles. That doesn't mean every religious young person is intolerant, but it does show why broad assumptions are unhelpful and careful analysis is essential.</w:t>
      </w:r>
      <w:r/>
    </w:p>
    <w:p>
      <w:r/>
      <w:r>
        <w:t xml:space="preserve">The harder question is what attitudes become in real life. A disapproving look and a physical attack aren't equivalent, yet both can contribute to an atmosphere in which queer people feel watched or unwelcome. Better reporting would help researchers and policymakers separate everyday discomfort from serious threats. </w:t>
      </w:r>
      <w:r/>
    </w:p>
    <w:p>
      <w:pPr>
        <w:pStyle w:val="Heading2"/>
      </w:pPr>
      <w:r>
        <w:t>Why lived experience deserves more attention</w:t>
      </w:r>
      <w:r/>
    </w:p>
    <w:p>
      <w:r/>
      <w:r>
        <w:t>Official statistics can miss the people who don't report. Someone may decide that contacting the police will be exhausting, embarrassing or pointless, particularly if previous experiences with institutions haven't inspired confidence. That gap leaves campaigners trying to understand a problem through fragments.</w:t>
      </w:r>
      <w:r/>
    </w:p>
    <w:p>
      <w:r/>
      <w:r>
        <w:t>Research and service information from Ghent shows that transgender people face distinctive practical and emotional challenges, from healthcare access to social recognition. A needs analysis commissioned by the city also underlines the value of listening directly to transgender residents rather than designing services from a distance.</w:t>
      </w:r>
      <w:r/>
    </w:p>
    <w:p>
      <w:r/>
      <w:r>
        <w:t>That sounds obvious, but it's often where policy falls short. A form, helpline or clinic may technically exist, yet still feel impossible to use if the language is cold, the waiting list is long or staff aren't properly informed. Good support should feel less like an obstacle course and more like a door that's genuinely open.</w:t>
      </w:r>
      <w:r/>
    </w:p>
    <w:p>
      <w:pPr>
        <w:pStyle w:val="Heading2"/>
      </w:pPr>
      <w:r>
        <w:t>Faith, family and the ideas young people inherit</w:t>
      </w:r>
      <w:r/>
    </w:p>
    <w:p>
      <w:r/>
      <w:r>
        <w:t>Public arguments often focus on social media, especially online communities that promote rigid ideas about masculinity and gender. But evidence cited in the wider debate suggests parents and family life can have a stronger influence on young people's attitudes than the internet alone.</w:t>
      </w:r>
      <w:r/>
    </w:p>
    <w:p>
      <w:r/>
      <w:r>
        <w:t>Religion can be part of that family and cultural environment, but it shouldn't be treated as a single block. Congregations and households differ, and many believers actively support LGBTQ+ people. The useful distinction is between examining harmful beliefs honestly and blaming an entire community for the actions of some members.</w:t>
      </w:r>
      <w:r/>
    </w:p>
    <w:p>
      <w:r/>
      <w:r>
        <w:t>That balance matters politically, too. LGBTQ+ rights shouldn't become a convenient weapon in arguments about immigration or identity. Equally, the fear of fuelling prejudice shouldn't make genuine discrimination impossible to discuss. Both evasions leave queer people carrying the cost.</w:t>
      </w:r>
      <w:r/>
    </w:p>
    <w:p>
      <w:pPr>
        <w:pStyle w:val="Heading2"/>
      </w:pPr>
      <w:r>
        <w:t>Specialist care is becoming harder to ignore</w:t>
      </w:r>
      <w:r/>
    </w:p>
    <w:p>
      <w:r/>
      <w:r>
        <w:t>For transgender people, support isn't only about public attitudes. It can involve healthcare, identity documents, mental wellbeing, family conversations and the search for a professional who understands the terrain. The Transgender Infopunt provides information and guidance, while hospital-based teams offer more specialised routes into care.</w:t>
      </w:r>
      <w:r/>
    </w:p>
    <w:p>
      <w:r/>
      <w:r>
        <w:t>UZ Gent has also called for more centres to develop transgender services, reflecting demand that stretches beyond a small number of specialist providers. More capacity could mean shorter journeys, less pressure on individual clinics and fewer people left trying to navigate care alone.</w:t>
      </w:r>
      <w:r/>
    </w:p>
    <w:p>
      <w:r/>
      <w:r>
        <w:t>Research projects focused on trans youth are especially important because adolescence brings its own mix of vulnerability, discovery and family tension. A calm, informed adult can make an enormous difference. For many young people, being taken seriously is not a luxury; it's the foundation for feeling safe.</w:t>
      </w:r>
      <w:r/>
    </w:p>
    <w:p>
      <w:pPr>
        <w:pStyle w:val="Heading2"/>
      </w:pPr>
      <w:r>
        <w:t>What meaningful progress would look like</w:t>
      </w:r>
      <w:r/>
    </w:p>
    <w:p>
      <w:r/>
      <w:r>
        <w:t>The most useful response is neither panic nor polite silence. Schools need clear anti-bullying policies, families need better conversations about gender and sexuality, healthcare workers need training, and authorities need to record anti-LGBTQ+ incidents consistently.</w:t>
      </w:r>
      <w:r/>
    </w:p>
    <w:p>
      <w:r/>
      <w:r>
        <w:t>Researchers have repeatedly shown that prejudice isn't fixed. Attitudes can shift when people have accurate information, positive contact and room to question inherited assumptions. That offers hope, but it also makes complacency risky. Rights on paper don't automatically create safety on a pavement, in a classroom or at home.</w:t>
      </w:r>
      <w:r/>
    </w:p>
    <w:p>
      <w:r/>
      <w:r>
        <w:t>The next step is to make support easier to find and harder to dismiss. As one researcher at VUB has argued, the fight against homophobia is still necessary. For anyone who has ever edited their behaviour to avoid attention, that conclusion won't come as a surprise.</w:t>
      </w:r>
      <w:r/>
    </w:p>
    <w:p>
      <w:r/>
      <w:r>
        <w:t>Small acts of visibility matter, but lasting change needs systems that stand behind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3">
        <w:r>
          <w:rPr>
            <w:color w:val="0000EE"/>
            <w:u w:val="single"/>
          </w:rPr>
          <w:t>[3]</w:t>
        </w:r>
      </w:hyperlink>
      <w:r>
        <w:t xml:space="preserve">, </w:t>
      </w:r>
      <w:hyperlink r:id="rId11">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[3]</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[3]</w:t>
        </w:r>
      </w:hyperlink>
      <w:r>
        <w:t xml:space="preserve">- Paragraph 11: </w:t>
      </w:r>
      <w:hyperlink r:id="rId12">
        <w:r>
          <w:rPr>
            <w:color w:val="0000EE"/>
            <w:u w:val="single"/>
          </w:rPr>
          <w:t>[4]</w:t>
        </w:r>
      </w:hyperlink>
      <w:r>
        <w:t xml:space="preserve">, </w:t>
      </w:r>
      <w:hyperlink r:id="rId11">
        <w:r>
          <w:rPr>
            <w:color w:val="0000EE"/>
            <w:u w:val="single"/>
          </w:rPr>
          <w:t>[5]</w:t>
        </w:r>
      </w:hyperlink>
      <w:r>
        <w:t xml:space="preserve">- Paragraph 12: </w:t>
      </w:r>
      <w:hyperlink r:id="rId15">
        <w:r>
          <w:rPr>
            <w:color w:val="0000EE"/>
            <w:u w:val="single"/>
          </w:rPr>
          <w:t>[6]</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[6]</w:t>
        </w:r>
      </w:hyperlink>
      <w:r>
        <w:t xml:space="preserve">- Paragraph 14: </w:t>
      </w:r>
      <w:hyperlink r:id="rId13">
        <w:r>
          <w:rPr>
            <w:color w:val="0000EE"/>
            <w:u w:val="single"/>
          </w:rPr>
          <w:t>[3]</w:t>
        </w:r>
      </w:hyperlink>
      <w:r>
        <w:t xml:space="preserve">, </w:t>
      </w:r>
      <w:hyperlink r:id="rId14">
        <w:r>
          <w:rPr>
            <w:color w:val="0000EE"/>
            <w:u w:val="single"/>
          </w:rPr>
          <w:t>[7]</w:t>
        </w:r>
      </w:hyperlink>
      <w:r>
        <w:t xml:space="preserve">- Paragraph 15: </w:t>
      </w:r>
      <w:hyperlink r:id="rId11">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[3]</w:t>
        </w:r>
      </w:hyperlink>
      <w:r>
        <w:t xml:space="preserve">- Paragraph 17: </w:t>
      </w:r>
      <w:hyperlink r:id="rId12">
        <w:r>
          <w:rPr>
            <w:color w:val="0000EE"/>
            <w:u w:val="single"/>
          </w:rPr>
          <w:t>[4]</w:t>
        </w:r>
      </w:hyperlink>
      <w:r>
        <w:t xml:space="preserve">, </w:t>
      </w:r>
      <w:hyperlink r:id="rId11">
        <w:r>
          <w:rPr>
            <w:color w:val="0000EE"/>
            <w:u w:val="single"/>
          </w:rPr>
          <w:t>[5]</w:t>
        </w:r>
      </w:hyperlink>
      <w:r>
        <w:t xml:space="preserve">- Paragraph 18: </w:t>
      </w:r>
      <w:hyperlink r:id="rId10">
        <w:r>
          <w:rPr>
            <w:color w:val="0000EE"/>
            <w:u w:val="single"/>
          </w:rPr>
          <w:t>[2]</w:t>
        </w:r>
      </w:hyperlink>
      <w:r>
        <w:t xml:space="preserve">, </w:t>
      </w:r>
      <w:hyperlink r:id="rId15">
        <w:r>
          <w:rPr>
            <w:color w:val="0000EE"/>
            <w:u w:val="single"/>
          </w:rPr>
          <w:t>[6]</w:t>
        </w:r>
      </w:hyperlink>
      <w:r>
        <w:t xml:space="preserve">- Paragraph 19: </w:t>
      </w:r>
      <w:hyperlink r:id="rId13">
        <w:r>
          <w:rPr>
            <w:color w:val="0000EE"/>
            <w:u w:val="single"/>
          </w:rPr>
          <w:t>[3]</w:t>
        </w:r>
      </w:hyperlink>
      <w:r>
        <w:t xml:space="preserve">, </w:t>
      </w:r>
      <w:hyperlink r:id="rId14">
        <w:r>
          <w:rPr>
            <w:color w:val="0000EE"/>
            <w:u w:val="single"/>
          </w:rPr>
          <w:t>[7]</w:t>
        </w:r>
      </w:hyperlink>
      <w:r>
        <w:t xml:space="preserve">- Paragraph 20: </w:t>
      </w:r>
      <w:hyperlink r:id="rId11">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https://www.demorgen.be/nieuws/hoe-moeilijk-hebben-gelovigen-het-met-lgbtq-de-drang-om-anderen-vanuit-religieuze-overwegingen-regels-op-te-leggen-neemt-toe~be6a1d74/</w:t>
        </w:r>
      </w:hyperlink>
      <w:r>
        <w:t xml:space="preserve"> - Please view link - unable to able to access data</w:t>
      </w:r>
      <w:r/>
    </w:p>
    <w:p>
      <w:pPr>
        <w:pStyle w:val="ListNumber"/>
        <w:spacing w:line="240" w:lineRule="auto"/>
        <w:ind w:left="720"/>
      </w:pPr>
      <w:r/>
      <w:hyperlink r:id="rId10">
        <w:r>
          <w:rPr>
            <w:color w:val="0000EE"/>
            <w:u w:val="single"/>
          </w:rPr>
          <w:t>https://www.uzgent.be/patient/zoek-een-arts-of-dienst/genderteam/transgender-infopunt</w:t>
        </w:r>
      </w:hyperlink>
      <w:r>
        <w:t xml:space="preserve"> - The Transgender Infopunt (TIP) at UZ Gent is a Flemish reception, information, and expertise centre for transgender issues. It offers free and anonymous support to individuals seeking information on gender diversity, including transgender persons, their families, caregivers, employers, schools, researchers, and journalists. The TIP provides scientifically substantiated information and collaborates with various organisations to enhance transgender care and research.</w:t>
      </w:r>
      <w:r/>
    </w:p>
    <w:p>
      <w:pPr>
        <w:pStyle w:val="ListNumber"/>
        <w:spacing w:line="240" w:lineRule="auto"/>
        <w:ind w:left="720"/>
      </w:pPr>
      <w:r/>
      <w:hyperlink r:id="rId13">
        <w:r>
          <w:rPr>
            <w:color w:val="0000EE"/>
            <w:u w:val="single"/>
          </w:rPr>
          <w:t>https://stad.gent/nl/samenleven-welzijn-gezondheid/diversiteit-gent/gender-genderidentiteit-en-seksuele-orientatie/behoefteanalyse-transgender-personen</w:t>
        </w:r>
      </w:hyperlink>
      <w:r>
        <w:t xml:space="preserve"> - In collaboration with the Transgender Infopunt, the City of Ghent conducted a needs assessment among transgender individuals in Ghent. The study aimed to identify the needs and wishes of transgender persons across various policy domains. The findings serve as a basis for developing transgender-friendly policies and services in the city, addressing areas such as healthcare, education, and social inclusion.</w:t>
      </w:r>
      <w:r/>
    </w:p>
    <w:p>
      <w:pPr>
        <w:pStyle w:val="ListNumber"/>
        <w:spacing w:line="240" w:lineRule="auto"/>
        <w:ind w:left="720"/>
      </w:pPr>
      <w:r/>
      <w:hyperlink r:id="rId12">
        <w:r>
          <w:rPr>
            <w:color w:val="0000EE"/>
            <w:u w:val="single"/>
          </w:rPr>
          <w:t>https://direct.mit.edu/euso/article/24/2/154/127275/Ambivalent-sexism-among-Christian-and-Muslim-youth</w:t>
        </w:r>
      </w:hyperlink>
      <w:r>
        <w:t xml:space="preserve"> - This study examines ambivalent sexism among Christian and Muslim youth in Flanders, Belgium. It analyses data from the Youth School Monitor, focusing on the perceived pressure for religious conformity and its impact on gender attitudes. The research highlights how religious affiliation influences gender perceptions and the socialisation processes within these communities, contributing to the understanding of gendered pathways in youth development.</w:t>
      </w:r>
      <w:r/>
    </w:p>
    <w:p>
      <w:pPr>
        <w:pStyle w:val="ListNumber"/>
        <w:spacing w:line="240" w:lineRule="auto"/>
        <w:ind w:left="720"/>
      </w:pPr>
      <w:r/>
      <w:hyperlink r:id="rId11">
        <w:r>
          <w:rPr>
            <w:color w:val="0000EE"/>
            <w:u w:val="single"/>
          </w:rPr>
          <w:t>https://vubtomorrow.be/en/vub-researcher-fien-pauwels-finds-fight-against-homophobia-still-necessary</w:t>
        </w:r>
      </w:hyperlink>
      <w:r>
        <w:t xml:space="preserve"> - VUB researcher Fien Pauwels, affiliated with the Jeugdonderzoeksplatform (JOP), highlights the ongoing necessity to combat homophobia among young people. A comparative study of 2018 and 2023 data reveals an increase in homophobic attitudes across all social youth groups. The findings indicate that homophobic and misogynistic statements are more frequently expressed openly, with this target group being particularly influenced by such sentiments.</w:t>
      </w:r>
      <w:r/>
    </w:p>
    <w:p>
      <w:pPr>
        <w:pStyle w:val="ListNumber"/>
        <w:spacing w:line="240" w:lineRule="auto"/>
        <w:ind w:left="720"/>
      </w:pPr>
      <w:r/>
      <w:hyperlink r:id="rId15">
        <w:r>
          <w:rPr>
            <w:color w:val="0000EE"/>
            <w:u w:val="single"/>
          </w:rPr>
          <w:t>https://www.uzgent.be/nl/centrum-voor-seksuologie-en-gender-roept-andere-centra-op-om-ook-transgenderzorg-op-te-starten</w:t>
        </w:r>
      </w:hyperlink>
      <w:r>
        <w:t xml:space="preserve"> - The Centre for Sexology and Gender at UZ Gent has been providing transgender care to an increasing number of individuals, with 1,300 people currently active in a guidance trajectory. Despite significant investments in personnel and infrastructure, the demand continues to grow, leading to longer waiting lists. The Centre calls on other institutions to also offer transgender care to meet the rising needs.</w:t>
      </w:r>
      <w:r/>
    </w:p>
    <w:p>
      <w:pPr>
        <w:pStyle w:val="ListNumber"/>
        <w:spacing w:line="240" w:lineRule="auto"/>
        <w:ind w:left="720"/>
      </w:pPr>
      <w:r/>
      <w:hyperlink r:id="rId14">
        <w:r>
          <w:rPr>
            <w:color w:val="0000EE"/>
            <w:u w:val="single"/>
          </w:rPr>
          <w:t>https://research.flw.ugent.be/nl/projects/trans-youth</w:t>
        </w:r>
      </w:hyperlink>
      <w:r>
        <w:t xml:space="preserve"> - The 'Trans Youth' project, conducted by the Transgender Infopunt in collaboration with UZ Gent's Child and Youth Gender Team, focuses on young people aged 12 to 24. The research aims to map the obstacles and levers in the living conditions, social, and mental well-being of young transgender individuals, with a focus on how these conditions pose barriers to full participation and the realisation of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morgen.be/nieuws/hoe-moeilijk-hebben-gelovigen-het-met-lgbtq-de-drang-om-anderen-vanuit-religieuze-overwegingen-regels-op-te-leggen-neemt-toe~be6a1d74/" TargetMode="External"/><Relationship Id="rId10" Type="http://schemas.openxmlformats.org/officeDocument/2006/relationships/hyperlink" Target="https://www.uzgent.be/patient/zoek-een-arts-of-dienst/genderteam/transgender-infopunt" TargetMode="External"/><Relationship Id="rId11" Type="http://schemas.openxmlformats.org/officeDocument/2006/relationships/hyperlink" Target="https://vubtomorrow.be/en/vub-researcher-fien-pauwels-finds-fight-against-homophobia-still-necessary" TargetMode="External"/><Relationship Id="rId12" Type="http://schemas.openxmlformats.org/officeDocument/2006/relationships/hyperlink" Target="https://direct.mit.edu/euso/article/24/2/154/127275/Ambivalent-sexism-among-Christian-and-Muslim-youth" TargetMode="External"/><Relationship Id="rId13" Type="http://schemas.openxmlformats.org/officeDocument/2006/relationships/hyperlink" Target="https://stad.gent/nl/samenleven-welzijn-gezondheid/diversiteit-gent/gender-genderidentiteit-en-seksuele-orientatie/behoefteanalyse-transgender-personen" TargetMode="External"/><Relationship Id="rId14" Type="http://schemas.openxmlformats.org/officeDocument/2006/relationships/hyperlink" Target="https://research.flw.ugent.be/nl/projects/trans-youth" TargetMode="External"/><Relationship Id="rId15" Type="http://schemas.openxmlformats.org/officeDocument/2006/relationships/hyperlink" Target="https://www.uzgent.be/nl/centrum-voor-seksuologie-en-gender-roept-andere-centra-op-om-ook-transgenderzorg-op-te-star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