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New anonymous LGBTQ+ hate reporting tool launches across Victoria</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LGBTQ+ Victorians now have a quieter way to report hate, discrimination and harassment without making a formal complaint or contacting police. The updated Community Reporting Tool aims to capture incidents that often go unrecorded, giving authorities and advocates a clearer view of what communities are experiencing and where prevention efforts are most urgently needed.</w:t>
      </w:r>
      <w:r/>
    </w:p>
    <w:p>
      <w:pPr>
        <w:pStyle w:val="Heading2"/>
      </w:pPr>
      <w:r>
        <w:t>Essential Takeaways</w:t>
      </w:r>
      <w:r/>
      <w:r/>
    </w:p>
    <w:p>
      <w:pPr>
        <w:pStyle w:val="ListBullet"/>
        <w:spacing w:line="240" w:lineRule="auto"/>
        <w:ind w:left="720"/>
      </w:pPr>
      <w:r/>
      <w:r>
        <w:rPr>
          <w:b/>
        </w:rPr>
        <w:t>Anonymous by design:</w:t>
      </w:r>
      <w:r>
        <w:t xml:space="preserve"> People can report incidents without identifying themselves or asking for follow-up.</w:t>
      </w:r>
      <w:r/>
    </w:p>
    <w:p>
      <w:pPr>
        <w:pStyle w:val="ListBullet"/>
        <w:spacing w:line="240" w:lineRule="auto"/>
        <w:ind w:left="720"/>
      </w:pPr>
      <w:r/>
      <w:r>
        <w:rPr>
          <w:b/>
        </w:rPr>
        <w:t>Broad scope:</w:t>
      </w:r>
      <w:r>
        <w:t xml:space="preserve"> Reports can cover discrimination, harassment, vilification, victimisation and conversion or suppression practices.</w:t>
      </w:r>
      <w:r/>
    </w:p>
    <w:p>
      <w:pPr>
        <w:pStyle w:val="ListBullet"/>
        <w:spacing w:line="240" w:lineRule="auto"/>
        <w:ind w:left="720"/>
      </w:pPr>
      <w:r/>
      <w:r>
        <w:rPr>
          <w:b/>
        </w:rPr>
        <w:t>Witnesses can report too:</w:t>
      </w:r>
      <w:r>
        <w:t xml:space="preserve"> You don't have to be the person directly affected.</w:t>
      </w:r>
      <w:r/>
    </w:p>
    <w:p>
      <w:pPr>
        <w:pStyle w:val="ListBullet"/>
        <w:spacing w:line="240" w:lineRule="auto"/>
        <w:ind w:left="720"/>
      </w:pPr>
      <w:r/>
      <w:r>
        <w:rPr>
          <w:b/>
        </w:rPr>
        <w:t>Not an emergency service:</w:t>
      </w:r>
      <w:r>
        <w:t xml:space="preserve"> Call 000 if someone is in immediate danger or a crime is happening.</w:t>
      </w:r>
      <w:r/>
    </w:p>
    <w:p>
      <w:pPr>
        <w:pStyle w:val="ListBullet"/>
        <w:spacing w:line="240" w:lineRule="auto"/>
        <w:ind w:left="720"/>
      </w:pPr>
      <w:r/>
      <w:r>
        <w:rPr>
          <w:b/>
        </w:rPr>
        <w:t>Data can shape prevention:</w:t>
      </w:r>
      <w:r>
        <w:t xml:space="preserve"> De-identified reports may help reveal patterns, locations and emerging risks.</w:t>
      </w:r>
      <w:r/>
      <w:r/>
    </w:p>
    <w:p>
      <w:pPr>
        <w:pStyle w:val="Heading2"/>
      </w:pPr>
      <w:r>
        <w:t>A lower-pressure route into the system</w:t>
      </w:r>
      <w:r/>
    </w:p>
    <w:p>
      <w:r/>
      <w:r>
        <w:t>The Victorian Community Reporting Tool gives LGBTQ+ people another option when something feels wrong but a police report or formal complaint feels too heavy, risky or premature. The process asks for practical details such as what happened, and when and where it occurred, rather than demanding a fully prepared case.</w:t>
      </w:r>
      <w:r/>
    </w:p>
    <w:p>
      <w:r/>
      <w:r>
        <w:t xml:space="preserve">That distinction matters. Someone may want an incident recorded while still feeling unsure about speaking to authorities, naming the person involved or entering a legal process. According to the Victorian Equal Opportunity and Human Rights Commission, reports are handled confidentially, and users can choose whether to provide contact details. </w:t>
      </w:r>
      <w:hyperlink r:id="rId9">
        <w:r>
          <w:rPr>
            <w:color w:val="0000EE"/>
            <w:u w:val="single"/>
          </w:rPr>
          <w:t>[2]</w:t>
        </w:r>
      </w:hyperlink>
      <w:r/>
    </w:p>
    <w:p>
      <w:r/>
      <w:r>
        <w:t xml:space="preserve">The tool is also open to witnesses. That could make a real difference in public places, workplaces, online spaces and social settings, where the person targeted may not feel ready to report what happened themselves. Community guidance published by Darebin Council describes the service as a way to share concerns and support a better understanding of discrimination and human-rights issues. </w:t>
      </w:r>
      <w:hyperlink r:id="rId10">
        <w:r>
          <w:rPr>
            <w:color w:val="0000EE"/>
            <w:u w:val="single"/>
          </w:rPr>
          <w:t>[3]</w:t>
        </w:r>
      </w:hyperlink>
      <w:r/>
    </w:p>
    <w:p>
      <w:pPr>
        <w:pStyle w:val="Heading2"/>
      </w:pPr>
      <w:r>
        <w:t>What can LGBTQ+ Victorians report?</w:t>
      </w:r>
      <w:r/>
    </w:p>
    <w:p>
      <w:r/>
      <w:r>
        <w:t>The service covers more than physical attacks. People can report discrimination, sexual harassment, hate speech, vilification, victimisation, human-rights concerns and change or suppression practices. That wider definition reflects how hostility often appears in daily life, from degrading comments and exclusion to targeted abuse online.</w:t>
      </w:r>
      <w:r/>
    </w:p>
    <w:p>
      <w:r/>
      <w:r>
        <w:t>Reports can relate to incidents involving LGBTQ+ people and other communities in Victoria. The information is then used in a de-identified form to identify trends and possible systemic problems, rather than automatically launching an investigation into one individual.</w:t>
      </w:r>
      <w:r/>
    </w:p>
    <w:p>
      <w:r/>
      <w:r>
        <w:t xml:space="preserve">The Human Rights Commission's information for organisations also underlines the broader role of reporting data. Patterns gathered over time can help inform education, policy and prevention work, even where an individual report doesn't become a formal complaint. </w:t>
      </w:r>
      <w:hyperlink r:id="rId11">
        <w:r>
          <w:rPr>
            <w:color w:val="0000EE"/>
            <w:u w:val="single"/>
          </w:rPr>
          <w:t>[7]</w:t>
        </w:r>
      </w:hyperlink>
      <w:r/>
    </w:p>
    <w:p>
      <w:pPr>
        <w:pStyle w:val="Heading2"/>
      </w:pPr>
      <w:r>
        <w:t>Why anonymous reporting could reveal more</w:t>
      </w:r>
      <w:r/>
    </w:p>
    <w:p>
      <w:r/>
      <w:r>
        <w:t>Underreporting is the central problem this tool is designed to address. People may worry about being outed, fear they won't be believed, doubt whether an incident is serious enough or simply not want to deal with a formal system after a distressing experience.</w:t>
      </w:r>
      <w:r/>
    </w:p>
    <w:p>
      <w:r/>
      <w:r>
        <w:t>For trans and gender-diverse people, the choice of a less formal route may be particularly important. Hate, sexual harassment and violence can take different forms, and a short report may capture details that traditional crime statistics miss. That broader evidence can help officials understand not just how many incidents occur, but who is being targeted and in what circumstances.</w:t>
      </w:r>
      <w:r/>
    </w:p>
    <w:p>
      <w:r/>
      <w:r>
        <w:t>There is a practical benefit, too. A single report might feel small, almost like dropping one pebble into a large pond. Taken together, however, those reports can show recurring locations, behaviours and warning signs that deserve attention.</w:t>
      </w:r>
      <w:r/>
    </w:p>
    <w:p>
      <w:pPr>
        <w:pStyle w:val="Heading2"/>
      </w:pPr>
      <w:r>
        <w:t>The tool doesn't replace police</w:t>
      </w:r>
      <w:r/>
    </w:p>
    <w:p>
      <w:r/>
      <w:r>
        <w:t>The Community Reporting Tool is for recording experiences and building evidence. It isn't a substitute for emergency assistance, a criminal investigation or urgent protection.</w:t>
      </w:r>
      <w:r/>
    </w:p>
    <w:p>
      <w:r/>
      <w:r>
        <w:t xml:space="preserve">Victoria Police says people should call 000 if there's immediate danger or a crime is taking place. Non-urgent crimes can be reported through police channels, and LGBTIQA+ Liaison Officers may be able to provide specialist support. </w:t>
      </w:r>
      <w:hyperlink r:id="rId12">
        <w:r>
          <w:rPr>
            <w:color w:val="0000EE"/>
            <w:u w:val="single"/>
          </w:rPr>
          <w:t>[4]</w:t>
        </w:r>
      </w:hyperlink>
      <w:r/>
    </w:p>
    <w:p>
      <w:r/>
      <w:r>
        <w:t xml:space="preserve">The Victorian Human Rights Commission also makes clear that community reporting is separate from making a formal complaint. That separation is useful because it lets people decide what happens next, rather than forcing one all-or-nothing choice at the first step. </w:t>
      </w:r>
      <w:hyperlink r:id="rId9">
        <w:r>
          <w:rPr>
            <w:color w:val="0000EE"/>
            <w:u w:val="single"/>
          </w:rPr>
          <w:t>[2]</w:t>
        </w:r>
      </w:hyperlink>
      <w:r/>
    </w:p>
    <w:p>
      <w:pPr>
        <w:pStyle w:val="Heading2"/>
      </w:pPr>
      <w:r>
        <w:t>What to include in an anonymous report</w:t>
      </w:r>
      <w:r/>
    </w:p>
    <w:p>
      <w:r/>
      <w:r>
        <w:t>A useful report doesn't need to sound legal or polished. Focus on the basics: what happened, when it happened, where it happened and who was involved, if you feel safe sharing that information.</w:t>
      </w:r>
      <w:r/>
    </w:p>
    <w:p>
      <w:r/>
      <w:r>
        <w:t>It can help to note whether the incident happened online or in person, whether anyone witnessed it and whether there were repeated incidents. Keep screenshots, messages or other evidence somewhere secure if you have them, but don't put yourself at further risk to collect proof.</w:t>
      </w:r>
      <w:r/>
    </w:p>
    <w:p>
      <w:r/>
      <w:r>
        <w:t xml:space="preserve">Before submitting, consider what support you need now. If you're in immediate danger, contact emergency services first. For less urgent concerns, the reporting tool can provide a lower-pressure way to make the experience visible while leaving the decision about further action with you. </w:t>
      </w:r>
      <w:hyperlink r:id="rId13">
        <w:r>
          <w:rPr>
            <w:color w:val="0000EE"/>
            <w:u w:val="single"/>
          </w:rPr>
          <w:t>[5]</w:t>
        </w:r>
      </w:hyperlink>
      <w:r/>
    </w:p>
    <w:p>
      <w:pPr>
        <w:pStyle w:val="Heading2"/>
      </w:pPr>
      <w:r>
        <w:t>A small reporting option with a wider purpose</w:t>
      </w:r>
      <w:r/>
    </w:p>
    <w:p>
      <w:r/>
      <w:r>
        <w:t>The real test will be whether the information leads to better prevention, safer public spaces and more responsive support. Anonymous reporting can't, on its own, stop abuse, but it can make persistent problems harder to dismiss as isolated incidents.</w:t>
      </w:r>
      <w:r/>
    </w:p>
    <w:p>
      <w:r/>
      <w:r>
        <w:t>For many LGBTQ+ Victorians, having a choice may be the most important change. Being able to speak up quietly is still speaking up, and a fuller picture gives policymakers a stronger basis for action.</w:t>
      </w:r>
      <w:r/>
    </w:p>
    <w:p>
      <w:r/>
      <w:r>
        <w:t>It's a small step for one report, but a potentially powerful one when communities report together.</w:t>
      </w:r>
      <w:r/>
    </w:p>
    <w:p>
      <w:pPr>
        <w:pStyle w:val="Heading3"/>
      </w:pPr>
      <w:r>
        <w:t>Source Reference Map</w:t>
      </w:r>
      <w:r/>
    </w:p>
    <w:p>
      <w:r/>
      <w:r>
        <w:rPr>
          <w:b/>
        </w:rPr>
        <w:t>Story idea inspired by:</w:t>
      </w:r>
      <w:r>
        <w:t xml:space="preserve"> </w:t>
      </w:r>
      <w:hyperlink r:id="rId14">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3">
        <w:r>
          <w:rPr>
            <w:color w:val="0000EE"/>
            <w:u w:val="single"/>
          </w:rPr>
          <w:t>[5]</w:t>
        </w:r>
      </w:hyperlink>
      <w:r>
        <w:t xml:space="preserve">- Paragraph 3: </w:t>
      </w:r>
      <w:hyperlink r:id="rId10">
        <w:r>
          <w:rPr>
            <w:color w:val="0000EE"/>
            <w:u w:val="single"/>
          </w:rPr>
          <w:t>[3]</w:t>
        </w:r>
      </w:hyperlink>
      <w:r>
        <w:t xml:space="preserve">, </w:t>
      </w:r>
      <w:hyperlink r:id="rId11">
        <w:r>
          <w:rPr>
            <w:color w:val="0000EE"/>
            <w:u w:val="single"/>
          </w:rPr>
          <w:t>[7]</w:t>
        </w:r>
      </w:hyperlink>
      <w:r>
        <w:t xml:space="preserve">- Paragraph 4: </w:t>
      </w:r>
      <w:hyperlink r:id="rId9">
        <w:r>
          <w:rPr>
            <w:color w:val="0000EE"/>
            <w:u w:val="single"/>
          </w:rPr>
          <w:t>[2]</w:t>
        </w:r>
      </w:hyperlink>
      <w:r>
        <w:t xml:space="preserve">, </w:t>
      </w:r>
      <w:hyperlink r:id="rId11">
        <w:r>
          <w:rPr>
            <w:color w:val="0000EE"/>
            <w:u w:val="single"/>
          </w:rPr>
          <w:t>[7]</w:t>
        </w:r>
      </w:hyperlink>
      <w:r>
        <w:t xml:space="preserve">- Paragraph 5: </w:t>
      </w:r>
      <w:hyperlink r:id="rId12">
        <w:r>
          <w:rPr>
            <w:color w:val="0000EE"/>
            <w:u w:val="single"/>
          </w:rPr>
          <w:t>[4]</w:t>
        </w:r>
      </w:hyperlink>
      <w:r>
        <w:t xml:space="preserve">, </w:t>
      </w:r>
      <w:hyperlink r:id="rId15">
        <w:r>
          <w:rPr>
            <w:color w:val="0000EE"/>
            <w:u w:val="single"/>
          </w:rPr>
          <w:t>[6]</w:t>
        </w:r>
      </w:hyperlink>
      <w:r>
        <w:t xml:space="preserve">- Paragraph 6: </w:t>
      </w:r>
      <w:hyperlink r:id="rId9">
        <w:r>
          <w:rPr>
            <w:color w:val="0000EE"/>
            <w:u w:val="single"/>
          </w:rPr>
          <w:t>[2]</w:t>
        </w:r>
      </w:hyperlink>
      <w:r>
        <w:t xml:space="preserve">, </w:t>
      </w:r>
      <w:hyperlink r:id="rId12">
        <w:r>
          <w:rPr>
            <w:color w:val="0000EE"/>
            <w:u w:val="single"/>
          </w:rPr>
          <w:t>[4]</w:t>
        </w:r>
      </w:hyperlink>
      <w:r>
        <w:t xml:space="preserve">- Paragraph 7: </w:t>
      </w:r>
      <w:hyperlink r:id="rId13">
        <w:r>
          <w:rPr>
            <w:color w:val="0000EE"/>
            <w:u w:val="single"/>
          </w:rPr>
          <w:t>[5]</w:t>
        </w:r>
      </w:hyperlink>
      <w:r>
        <w:t xml:space="preserve">, </w:t>
      </w:r>
      <w:hyperlink r:id="rId11">
        <w:r>
          <w:rPr>
            <w:color w:val="0000EE"/>
            <w:u w:val="single"/>
          </w:rPr>
          <w:t>[7]</w:t>
        </w:r>
      </w:hyperlink>
      <w:r>
        <w:t xml:space="preserve">- Paragraph 8: </w:t>
      </w:r>
      <w:hyperlink r:id="rId9">
        <w:r>
          <w:rPr>
            <w:color w:val="0000EE"/>
            <w:u w:val="single"/>
          </w:rPr>
          <w:t>[2]</w:t>
        </w:r>
      </w:hyperlink>
      <w:r>
        <w:t xml:space="preserve">, </w:t>
      </w:r>
      <w:hyperlink r:id="rId13">
        <w:r>
          <w:rPr>
            <w:color w:val="0000EE"/>
            <w:u w:val="single"/>
          </w:rPr>
          <w:t>[5]</w:t>
        </w:r>
      </w:hyperlink>
      <w:r>
        <w:t xml:space="preserve">- Paragraph 9: </w:t>
      </w:r>
      <w:hyperlink r:id="rId12">
        <w:r>
          <w:rPr>
            <w:color w:val="0000EE"/>
            <w:u w:val="single"/>
          </w:rPr>
          <w:t>[4]</w:t>
        </w:r>
      </w:hyperlink>
      <w:r>
        <w:t xml:space="preserve">, </w:t>
      </w:r>
      <w:hyperlink r:id="rId13">
        <w:r>
          <w:rPr>
            <w:color w:val="0000EE"/>
            <w:u w:val="single"/>
          </w:rPr>
          <w:t>[5]</w:t>
        </w:r>
      </w:hyperlink>
      <w:r>
        <w:t xml:space="preserve">- Paragraph 10: </w:t>
      </w:r>
      <w:hyperlink r:id="rId9">
        <w:r>
          <w:rPr>
            <w:color w:val="0000EE"/>
            <w:u w:val="single"/>
          </w:rPr>
          <w:t>[2]</w:t>
        </w:r>
      </w:hyperlink>
      <w:r>
        <w:t xml:space="preserve">, </w:t>
      </w:r>
      <w:hyperlink r:id="rId10">
        <w:r>
          <w:rPr>
            <w:color w:val="0000EE"/>
            <w:u w:val="single"/>
          </w:rPr>
          <w:t>[3]</w:t>
        </w:r>
      </w:hyperlink>
      <w:r>
        <w:t xml:space="preserve">- Paragraph 11: </w:t>
      </w:r>
      <w:hyperlink r:id="rId13">
        <w:r>
          <w:rPr>
            <w:color w:val="0000EE"/>
            <w:u w:val="single"/>
          </w:rPr>
          <w:t>[5]</w:t>
        </w:r>
      </w:hyperlink>
      <w:r>
        <w:t xml:space="preserve">, </w:t>
      </w:r>
      <w:hyperlink r:id="rId11">
        <w:r>
          <w:rPr>
            <w:color w:val="0000EE"/>
            <w:u w:val="single"/>
          </w:rPr>
          <w:t>[7]</w:t>
        </w:r>
      </w:hyperlink>
      <w:r>
        <w:t xml:space="preserve">- Paragraph 12: </w:t>
      </w:r>
      <w:hyperlink r:id="rId9">
        <w:r>
          <w:rPr>
            <w:color w:val="0000EE"/>
            <w:u w:val="single"/>
          </w:rPr>
          <w:t>[2]</w:t>
        </w:r>
      </w:hyperlink>
      <w:r>
        <w:t xml:space="preserve">, </w:t>
      </w:r>
      <w:hyperlink r:id="rId12">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14">
        <w:r>
          <w:rPr>
            <w:color w:val="0000EE"/>
            <w:u w:val="single"/>
          </w:rPr>
          <w:t>https://gayexpress.co.nz/2026/10/anonymous-reporting-tool-aims-to-reveal-true-scale-of-lgbtq-hate-in-australia/?utm_source=rss&amp;utm_medium=rss&amp;utm_campaign=anonymous-reporting-tool-aims-to-reveal-true-scale-of-lgbtq-hate-in-australia</w:t>
        </w:r>
      </w:hyperlink>
      <w:r>
        <w:t xml:space="preserve"> - Please view link - unable to able to access data</w:t>
      </w:r>
      <w:r/>
    </w:p>
    <w:p>
      <w:pPr>
        <w:pStyle w:val="ListNumber"/>
        <w:spacing w:line="240" w:lineRule="auto"/>
        <w:ind w:left="720"/>
      </w:pPr>
      <w:r/>
      <w:hyperlink r:id="rId9">
        <w:r>
          <w:rPr>
            <w:color w:val="0000EE"/>
            <w:u w:val="single"/>
          </w:rPr>
          <w:t>https://www.humanrights.vic.gov.au/get-help/community-reporting-tool/</w:t>
        </w:r>
      </w:hyperlink>
      <w:r>
        <w:t xml:space="preserve"> - The Victorian Equal Opportunity and Human Rights Commission (VEOHRC) offers a Community Reporting Tool (CRT) for individuals to confidentially report experiences of discrimination, sexual harassment, vilification, hate speech, victimisation, human rights concerns, or change and suppression practices. Reports can be made anonymously, and the tool aims to help identify trends and systemic issues within the community. The CRT is not a formal complaint process but serves as a means to gather information to inform policy and prevention efforts. Personal details are kept confidential, and de-identified data is used for analysis and reporting purposes.</w:t>
      </w:r>
      <w:r/>
    </w:p>
    <w:p>
      <w:pPr>
        <w:pStyle w:val="ListNumber"/>
        <w:spacing w:line="240" w:lineRule="auto"/>
        <w:ind w:left="720"/>
      </w:pPr>
      <w:r/>
      <w:hyperlink r:id="rId10">
        <w:r>
          <w:rPr>
            <w:color w:val="0000EE"/>
            <w:u w:val="single"/>
          </w:rPr>
          <w:t>https://www.darebin.vic.gov.au/Community-and-pets/People-with-disability/Reporting-and-advocacy/Community-reporting-tool</w:t>
        </w:r>
      </w:hyperlink>
      <w:r>
        <w:t xml:space="preserve"> - The City of Darebin encourages residents to report any discrimination to the Victorian Human Rights and Equal Opportunity Commission using the Community Reporting Tool. The tool is designed to make reporting easier and more accessible, allowing individuals to report incidents of racism, sexism, transphobia, homophobia, and other forms of discrimination. The Commission is an independent agency responsible for receiving and attempting to resolve complaints from the community. The Community Reporting Tool consists of four questions to gather essential information about the incident.</w:t>
      </w:r>
      <w:r/>
    </w:p>
    <w:p>
      <w:pPr>
        <w:pStyle w:val="ListNumber"/>
        <w:spacing w:line="240" w:lineRule="auto"/>
        <w:ind w:left="720"/>
      </w:pPr>
      <w:r/>
      <w:hyperlink r:id="rId12">
        <w:r>
          <w:rPr>
            <w:color w:val="0000EE"/>
            <w:u w:val="single"/>
          </w:rPr>
          <w:t>https://www.police.vic.gov.au/report-crime-against-LGBTIQA-community</w:t>
        </w:r>
      </w:hyperlink>
      <w:r>
        <w:t xml:space="preserve"> - Victoria Police takes crimes against the LGBTIQA+ community seriously and provides information on how to report such incidents. Types of crimes include prejudice-motivated crimes, family violence, sexual assault, stalking, LGBTIQA+ change or suppression (conversion) practices, property crime, and assaults. In cases of immediate danger or ongoing crimes, individuals are advised to call Triple Zero (000). For non-urgent matters, reports can be made by calling 131 444 or visiting the Police Assistance Line and Online Reporting. Contacting local police stations is also an option for reporting other crimes.</w:t>
      </w:r>
      <w:r/>
    </w:p>
    <w:p>
      <w:pPr>
        <w:pStyle w:val="ListNumber"/>
        <w:spacing w:line="240" w:lineRule="auto"/>
        <w:ind w:left="720"/>
      </w:pPr>
      <w:r/>
      <w:hyperlink r:id="rId13">
        <w:r>
          <w:rPr>
            <w:color w:val="0000EE"/>
            <w:u w:val="single"/>
          </w:rPr>
          <w:t>https://www.hrcc.vic.gov.au/Our-Services/Community-Inclusion/Human-Rights-Community-Reporting-Tool</w:t>
        </w:r>
      </w:hyperlink>
      <w:r>
        <w:t xml:space="preserve"> - Horsham Rural City Council offers a Human Rights Community Reporting Tool for individuals who have experienced racism, sexual harassment, or any form of discrimination within the municipality. The tool allows residents to report incidents directly to the Victorian Equal Opportunity and Human Rights Commission (VEOHRC). Information shared through the tool is provided directly to the VEOHRC, ensuring confidentiality. The Council acknowledges the importance of addressing human rights concerns and supports residents in standing up for their rights.</w:t>
      </w:r>
      <w:r/>
    </w:p>
    <w:p>
      <w:pPr>
        <w:pStyle w:val="ListNumber"/>
        <w:spacing w:line="240" w:lineRule="auto"/>
        <w:ind w:left="720"/>
      </w:pPr>
      <w:r/>
      <w:hyperlink r:id="rId15">
        <w:r>
          <w:rPr>
            <w:color w:val="0000EE"/>
            <w:u w:val="single"/>
          </w:rPr>
          <w:t>https://app.advoc8.co/public/feeds_v2/media_releases/0ATlpxQ</w:t>
        </w:r>
      </w:hyperlink>
      <w:r>
        <w:t xml:space="preserve"> - An article from Advoc8 discusses the launch of an improved Community Reporting Tool (CRT) developed by the Victorian Equal Opportunity &amp; Human Rights Commission (VEOHRC). The tool allows LGBTIQA+ Victorians to report experiences of discrimination, harassment, and hate speech safely and confidentially. It offers design options for different communities to embed the tool on their websites. Reports gathered will inform government and community responses to vilification and discrimination. The initiative follows recommendations from the Premier's Anti-Hate Taskforce to address harassment before it escalates to violence. Collaboration with Victoria Police's LGBTIQA+ Liaison Network supports reporting of criminal incidents.</w:t>
      </w:r>
      <w:r/>
    </w:p>
    <w:p>
      <w:pPr>
        <w:pStyle w:val="ListNumber"/>
        <w:spacing w:line="240" w:lineRule="auto"/>
        <w:ind w:left="720"/>
      </w:pPr>
      <w:r/>
      <w:hyperlink r:id="rId11">
        <w:r>
          <w:rPr>
            <w:color w:val="0000EE"/>
            <w:u w:val="single"/>
          </w:rPr>
          <w:t>https://www.humanrights.vic.gov.au/for-organisations/</w:t>
        </w:r>
      </w:hyperlink>
      <w:r>
        <w:t xml:space="preserve"> - The Victorian Equal Opportunity and Human Rights Commission (VEOHRC) provides resources and support for organisations to meet their legal obligations under the Equal Opportunity Act 2010 and federal anti-discrimination laws. Organisations can work with the Commission to develop policies to prevent discrimination, sexual harassment, and bullying. The Commission offers tools to help organisations meet their obligations, including equal opportunity practice guidelines, positive duty, special measures, exceptions, and exemptions. The Community Reporting Tool is also available for organisations to host on their websites, improving community access to reporting mechanisms.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humanrights.vic.gov.au/get-help/community-reporting-tool/" TargetMode="External"/><Relationship Id="rId10" Type="http://schemas.openxmlformats.org/officeDocument/2006/relationships/hyperlink" Target="https://www.darebin.vic.gov.au/Community-and-pets/People-with-disability/Reporting-and-advocacy/Community-reporting-tool" TargetMode="External"/><Relationship Id="rId11" Type="http://schemas.openxmlformats.org/officeDocument/2006/relationships/hyperlink" Target="https://www.humanrights.vic.gov.au/for-organisations/" TargetMode="External"/><Relationship Id="rId12" Type="http://schemas.openxmlformats.org/officeDocument/2006/relationships/hyperlink" Target="https://www.police.vic.gov.au/report-crime-against-LGBTIQA-community" TargetMode="External"/><Relationship Id="rId13" Type="http://schemas.openxmlformats.org/officeDocument/2006/relationships/hyperlink" Target="https://www.hrcc.vic.gov.au/Our-Services/Community-Inclusion/Human-Rights-Community-Reporting-Tool" TargetMode="External"/><Relationship Id="rId14" Type="http://schemas.openxmlformats.org/officeDocument/2006/relationships/hyperlink" Target="https://gayexpress.co.nz/2026/10/anonymous-reporting-tool-aims-to-reveal-true-scale-of-lgbtq-hate-in-australia/?utm_source=rss&amp;utm_medium=rss&amp;utm_campaign=anonymous-reporting-tool-aims-to-reveal-true-scale-of-lgbtq-hate-in-australia" TargetMode="External"/><Relationship Id="rId15" Type="http://schemas.openxmlformats.org/officeDocument/2006/relationships/hyperlink" Target="https://app.advoc8.co/public/feeds_v2/media_releases/0ATlpxQ"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