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gender-affirming care through pharmacist-led hormone therapy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Patients are finding a more supportive route to gender-affirming care as pharmacists take on a bigger role in hormone treatment, HIV prevention and wider health management. A programme in New York offered transgender and gender-diverse people more accessible, respectful support, highlighting how trusted pharmacy teams can help close persistent gaps in healthcare.</w:t>
      </w:r>
      <w:r/>
    </w:p>
    <w:p>
      <w:pPr>
        <w:pStyle w:val="Heading2"/>
      </w:pPr>
      <w:r>
        <w:t>Essential Takeaways</w:t>
      </w:r>
      <w:r/>
      <w:r/>
    </w:p>
    <w:p>
      <w:pPr>
        <w:pStyle w:val="ListBullet"/>
        <w:spacing w:line="240" w:lineRule="auto"/>
        <w:ind w:left="720"/>
      </w:pPr>
      <w:r/>
      <w:r>
        <w:rPr>
          <w:b/>
        </w:rPr>
        <w:t>A wider role:</w:t>
      </w:r>
      <w:r>
        <w:t xml:space="preserve"> Pharmacists can support hormone therapy, HIV prevention, STI care and chronic conditions.</w:t>
      </w:r>
      <w:r/>
    </w:p>
    <w:p>
      <w:pPr>
        <w:pStyle w:val="ListBullet"/>
        <w:spacing w:line="240" w:lineRule="auto"/>
        <w:ind w:left="720"/>
      </w:pPr>
      <w:r/>
      <w:r>
        <w:rPr>
          <w:b/>
        </w:rPr>
        <w:t>Strong patient response:</w:t>
      </w:r>
      <w:r>
        <w:t xml:space="preserve"> The programme recorded very high satisfaction and repeat-visit intentions.</w:t>
      </w:r>
      <w:r/>
    </w:p>
    <w:p>
      <w:pPr>
        <w:pStyle w:val="ListBullet"/>
        <w:spacing w:line="240" w:lineRule="auto"/>
        <w:ind w:left="720"/>
      </w:pPr>
      <w:r/>
      <w:r>
        <w:rPr>
          <w:b/>
        </w:rPr>
        <w:t>Respect matters:</w:t>
      </w:r>
      <w:r>
        <w:t xml:space="preserve"> Every survey respondent said they felt respected and supported.</w:t>
      </w:r>
      <w:r/>
    </w:p>
    <w:p>
      <w:pPr>
        <w:pStyle w:val="ListBullet"/>
        <w:spacing w:line="240" w:lineRule="auto"/>
        <w:ind w:left="720"/>
      </w:pPr>
      <w:r/>
      <w:r>
        <w:rPr>
          <w:b/>
        </w:rPr>
        <w:t>Practical support:</w:t>
      </w:r>
      <w:r>
        <w:t xml:space="preserve"> Medication education was the most frequently recorded intervention.</w:t>
      </w:r>
      <w:r/>
    </w:p>
    <w:p>
      <w:pPr>
        <w:pStyle w:val="ListBullet"/>
        <w:spacing w:line="240" w:lineRule="auto"/>
        <w:ind w:left="720"/>
      </w:pPr>
      <w:r/>
      <w:r>
        <w:rPr>
          <w:b/>
        </w:rPr>
        <w:t>A broader need:</w:t>
      </w:r>
      <w:r>
        <w:t xml:space="preserve"> Social acceptance has improved, but transgender people still report limited acceptance overall.</w:t>
      </w:r>
      <w:r/>
      <w:r/>
    </w:p>
    <w:p>
      <w:pPr>
        <w:pStyle w:val="Heading2"/>
      </w:pPr>
      <w:r>
        <w:t>Pharmacists are becoming trusted partners in gender-affirming care</w:t>
      </w:r>
      <w:r/>
    </w:p>
    <w:p>
      <w:r/>
      <w:r>
        <w:t>For many patients, a pharmacy visit is less intimidating than navigating a complex specialist pathway. That familiar setting can make a real difference, especially when someone needs clear advice about medicines, side effects or what happens next.</w:t>
      </w:r>
      <w:r/>
    </w:p>
    <w:p>
      <w:r/>
      <w:r>
        <w:t>At NYC Health + Hospitals/Bellevue's Pride Health Center, a pharmacist-led collaborative drug therapy management programme gave a board-certified ambulatory care pharmacist authority to start and adjust gender-affirming hormone therapy. The role also covered HIV prevention, sexually transmitted infection care and long-term health conditions.</w:t>
      </w:r>
      <w:r/>
    </w:p>
    <w:p>
      <w:r/>
      <w:r>
        <w:t>It is a sizeable shift from the old image of the pharmacist as someone who simply dispenses a prescription. Here, the pharmacist became a consistent clinical contact, helping patients manage several parts of their healthcare in one place.</w:t>
      </w:r>
      <w:r/>
    </w:p>
    <w:p>
      <w:pPr>
        <w:pStyle w:val="Heading2"/>
      </w:pPr>
      <w:r>
        <w:t>Why respectful treatment still matters</w:t>
      </w:r>
      <w:r/>
    </w:p>
    <w:p>
      <w:r/>
      <w:r>
        <w:t>Greater public awareness hasn't automatically created comfortable healthcare experiences. Pew Research Centre data show that many LGBTQ+ people recognise progress in acceptance, yet transgender people remain far less likely to feel broadly accepted by society.</w:t>
      </w:r>
      <w:r/>
    </w:p>
    <w:p>
      <w:r/>
      <w:r>
        <w:t>That gap can be especially painful in healthcare, where a patient's name, pronouns, identity and treatment goals all need to be handled with care. A technically correct consultation can still feel alienating if the person receiving care doesn't feel heard.</w:t>
      </w:r>
      <w:r/>
    </w:p>
    <w:p>
      <w:r/>
      <w:r>
        <w:t>The Bellevue results suggest that a respectful approach isn't a decorative extra. All 58 survey respondents said they felt respected and supported by the pharmacist, while also reporting that they were comfortable discussing their gender identity. Those are powerful signals in a setting where trust is central.</w:t>
      </w:r>
      <w:r/>
    </w:p>
    <w:p>
      <w:pPr>
        <w:pStyle w:val="Heading2"/>
      </w:pPr>
      <w:r>
        <w:t>What the programme delivered in practice</w:t>
      </w:r>
      <w:r/>
    </w:p>
    <w:p>
      <w:r/>
      <w:r>
        <w:t>The service enrolled 70 patients and recorded 223 pharmacist appointments. Across those visits, the pharmacist documented 573 interventions, with medication education and starting hormone therapy among the most common.</w:t>
      </w:r>
      <w:r/>
    </w:p>
    <w:p>
      <w:r/>
      <w:r>
        <w:t>That combination is important. Beginning or changing hormone treatment can involve questions about dosing, expected effects, monitoring and possible risks. Good explanations can turn a confusing prescription into a manageable care plan, rather than leaving patients to decode instructions alone.</w:t>
      </w:r>
      <w:r/>
    </w:p>
    <w:p>
      <w:r/>
      <w:r>
        <w:t>The programme also linked gender-affirming care with sexual health and chronic disease management. That joined-up approach makes sense because patients rarely experience their health in neat categories, even when services are organised that way.</w:t>
      </w:r>
      <w:r/>
    </w:p>
    <w:p>
      <w:pPr>
        <w:pStyle w:val="Heading2"/>
      </w:pPr>
      <w:r>
        <w:t>Patient satisfaction points to a useful model</w:t>
      </w:r>
      <w:r/>
    </w:p>
    <w:p>
      <w:r/>
      <w:r>
        <w:t>The feedback was notably positive. Ninety-five per cent of respondents strongly agreed they were pleased with the service, and 93 per cent strongly agreed they would return for another appointment.</w:t>
      </w:r>
      <w:r/>
    </w:p>
    <w:p>
      <w:r/>
      <w:r>
        <w:t>Those figures don't prove that every pharmacy could immediately offer the same service. Specialist training, prescribing authority, private consultation space, appropriate monitoring and strong referral links would all be essential. Still, they show how a pharmacist-led model can feel accessible when it is designed around patients rather than paperwork.</w:t>
      </w:r>
      <w:r/>
    </w:p>
    <w:p>
      <w:r/>
      <w:r>
        <w:t>For people comparing gender-affirming care options, the practical questions are straightforward: Can the service provide ongoing monitoring? Is the team trained in transgender healthcare? Can it coordinate with primary care and specialist services? And will consultations be private and respectful?</w:t>
      </w:r>
      <w:r/>
    </w:p>
    <w:p>
      <w:pPr>
        <w:pStyle w:val="Heading2"/>
      </w:pPr>
      <w:r>
        <w:t>The outlook for pharmacy-led gender-affirming care</w:t>
      </w:r>
      <w:r/>
    </w:p>
    <w:p>
      <w:r/>
      <w:r>
        <w:t>The findings add weight to a wider conversation about how pharmacists can contribute to direct patient care. Their expertise in medicines puts them in a strong position to explain treatment, identify problems early and help patients use medicines safely.</w:t>
      </w:r>
      <w:r/>
    </w:p>
    <w:p>
      <w:r/>
      <w:r>
        <w:t>But training and culture matter just as much as clinical authority. A warm welcome, accurate records and thoughtful language can shape whether someone feels able to return for help. In healthcare, small moments often carry surprisingly heavy weight.</w:t>
      </w:r>
      <w:r/>
    </w:p>
    <w:p>
      <w:r/>
      <w:r>
        <w:t>As demand for inclusive services grows, pharmacist-led programmes could become one part of a broader, more connected model of gender-affirming care. The best versions won't replace specialist teams. They'll make the pathway easier to navigate and a little less lonely.</w:t>
      </w:r>
      <w:r/>
    </w:p>
    <w:p>
      <w:r/>
      <w:r>
        <w:t>A respectful pharmacist can make gender-affirming care feel safer, clearer and more joined-up.</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1">
        <w:r>
          <w:rPr>
            <w:color w:val="0000EE"/>
            <w:u w:val="single"/>
          </w:rPr>
          <w:t>[4]</w:t>
        </w:r>
      </w:hyperlink>
      <w:r>
        <w:t xml:space="preserve">- Paragraph 3: </w:t>
      </w:r>
      <w:hyperlink r:id="rId11">
        <w:r>
          <w:rPr>
            <w:color w:val="0000EE"/>
            <w:u w:val="single"/>
          </w:rPr>
          <w:t>[4]</w:t>
        </w:r>
      </w:hyperlink>
      <w:r>
        <w:t xml:space="preserve">, </w:t>
      </w:r>
      <w:hyperlink r:id="rId11">
        <w:r>
          <w:rPr>
            <w:color w:val="0000EE"/>
            <w:u w:val="single"/>
          </w:rPr>
          <w:t>[5]</w:t>
        </w:r>
      </w:hyperlink>
      <w:r>
        <w:t xml:space="preserve">- Paragraph 4: </w:t>
      </w:r>
      <w:hyperlink r:id="rId10">
        <w:r>
          <w:rPr>
            <w:color w:val="0000EE"/>
            <w:u w:val="single"/>
          </w:rPr>
          <w:t>[2]</w:t>
        </w:r>
      </w:hyperlink>
      <w:r>
        <w:t xml:space="preserve">, </w:t>
      </w:r>
      <w:hyperlink r:id="rId11">
        <w:r>
          <w:rPr>
            <w:color w:val="0000EE"/>
            <w:u w:val="single"/>
          </w:rPr>
          <w:t>[6]</w:t>
        </w:r>
      </w:hyperlink>
      <w:r>
        <w:t xml:space="preserve">- Paragraph 5: </w:t>
      </w:r>
      <w:hyperlink r:id="rId11">
        <w:r>
          <w:rPr>
            <w:color w:val="0000EE"/>
            <w:u w:val="single"/>
          </w:rPr>
          <w:t>[3]</w:t>
        </w:r>
      </w:hyperlink>
      <w:r>
        <w:t xml:space="preserve">, </w:t>
      </w:r>
      <w:hyperlink r:id="rId11">
        <w:r>
          <w:rPr>
            <w:color w:val="0000EE"/>
            <w:u w:val="single"/>
          </w:rPr>
          <w:t>[7]</w:t>
        </w:r>
      </w:hyperlink>
      <w:r>
        <w:t xml:space="preserve">- Paragraph 6: </w:t>
      </w:r>
      <w:hyperlink r:id="rId11">
        <w:r>
          <w:rPr>
            <w:color w:val="0000EE"/>
            <w:u w:val="single"/>
          </w:rPr>
          <w:t>[4]</w:t>
        </w:r>
      </w:hyperlink>
      <w:r>
        <w:t xml:space="preserve">, </w:t>
      </w:r>
      <w:hyperlink r:id="rId11">
        <w:r>
          <w:rPr>
            <w:color w:val="0000EE"/>
            <w:u w:val="single"/>
          </w:rPr>
          <w:t>[5]</w:t>
        </w:r>
      </w:hyperlink>
      <w:r>
        <w:t xml:space="preserve">- Paragraph 7: </w:t>
      </w:r>
      <w:hyperlink r:id="rId11">
        <w:r>
          <w:rPr>
            <w:color w:val="0000EE"/>
            <w:u w:val="single"/>
          </w:rPr>
          <w:t>[3]</w:t>
        </w:r>
      </w:hyperlink>
      <w:r>
        <w:t xml:space="preserve">, </w:t>
      </w:r>
      <w:hyperlink r:id="rId11">
        <w:r>
          <w:rPr>
            <w:color w:val="0000EE"/>
            <w:u w:val="single"/>
          </w:rPr>
          <w:t>[6]</w:t>
        </w:r>
      </w:hyperlink>
      <w:r>
        <w:t xml:space="preserve">- Paragraph 8: </w:t>
      </w:r>
      <w:hyperlink r:id="rId11">
        <w:r>
          <w:rPr>
            <w:color w:val="0000EE"/>
            <w:u w:val="single"/>
          </w:rPr>
          <w:t>[4]</w:t>
        </w:r>
      </w:hyperlink>
      <w:r>
        <w:t xml:space="preserve">, </w:t>
      </w:r>
      <w:hyperlink r:id="rId11">
        <w:r>
          <w:rPr>
            <w:color w:val="0000EE"/>
            <w:u w:val="single"/>
          </w:rPr>
          <w:t>[7]</w:t>
        </w:r>
      </w:hyperlink>
      <w:r>
        <w:t xml:space="preserve">- Paragraph 9: </w:t>
      </w:r>
      <w:hyperlink r:id="rId11">
        <w:r>
          <w:rPr>
            <w:color w:val="0000EE"/>
            <w:u w:val="single"/>
          </w:rPr>
          <w:t>[3]</w:t>
        </w:r>
      </w:hyperlink>
      <w:r>
        <w:t xml:space="preserve">, </w:t>
      </w:r>
      <w:hyperlink r:id="rId11">
        <w:r>
          <w:rPr>
            <w:color w:val="0000EE"/>
            <w:u w:val="single"/>
          </w:rPr>
          <w:t>[5]</w:t>
        </w:r>
      </w:hyperlink>
      <w:r>
        <w:t xml:space="preserve">- Paragraph 10: </w:t>
      </w:r>
      <w:hyperlink r:id="rId10">
        <w:r>
          <w:rPr>
            <w:color w:val="0000EE"/>
            <w:u w:val="single"/>
          </w:rPr>
          <w:t>[2]</w:t>
        </w:r>
      </w:hyperlink>
      <w:r>
        <w:t xml:space="preserve">, </w:t>
      </w:r>
      <w:hyperlink r:id="rId11">
        <w:r>
          <w:rPr>
            <w:color w:val="0000EE"/>
            <w:u w:val="single"/>
          </w:rPr>
          <w:t>[6]</w:t>
        </w:r>
      </w:hyperlink>
      <w:r>
        <w:t xml:space="preserve">- Paragraph 11: </w:t>
      </w:r>
      <w:hyperlink r:id="rId11">
        <w:r>
          <w:rPr>
            <w:color w:val="0000EE"/>
            <w:u w:val="single"/>
          </w:rPr>
          <w:t>[3]</w:t>
        </w:r>
      </w:hyperlink>
      <w:r>
        <w:t xml:space="preserve">, </w:t>
      </w:r>
      <w:hyperlink r:id="rId11">
        <w:r>
          <w:rPr>
            <w:color w:val="0000EE"/>
            <w:u w:val="single"/>
          </w:rPr>
          <w:t>[7]</w:t>
        </w:r>
      </w:hyperlink>
      <w:r>
        <w:t xml:space="preserve">- Paragraph 12: </w:t>
      </w:r>
      <w:hyperlink r:id="rId11">
        <w:r>
          <w:rPr>
            <w:color w:val="0000EE"/>
            <w:u w:val="single"/>
          </w:rPr>
          <w:t>[4]</w:t>
        </w:r>
      </w:hyperlink>
      <w:r>
        <w:t xml:space="preserve">, </w:t>
      </w:r>
      <w:hyperlink r:id="rId11">
        <w:r>
          <w:rPr>
            <w:color w:val="0000EE"/>
            <w:u w:val="single"/>
          </w:rPr>
          <w:t>[5]</w:t>
        </w:r>
      </w:hyperlink>
      <w:r>
        <w:t xml:space="preserve">- Paragraph 13: </w:t>
      </w:r>
      <w:hyperlink r:id="rId10">
        <w:r>
          <w:rPr>
            <w:color w:val="0000EE"/>
            <w:u w:val="single"/>
          </w:rPr>
          <w:t>[2]</w:t>
        </w:r>
      </w:hyperlink>
      <w:r>
        <w:t xml:space="preserve">, </w:t>
      </w:r>
      <w:hyperlink r:id="rId11">
        <w:r>
          <w:rPr>
            <w:color w:val="0000EE"/>
            <w:u w:val="single"/>
          </w:rPr>
          <w:t>[6]</w:t>
        </w:r>
      </w:hyperlink>
      <w:r>
        <w:t xml:space="preserve">- Paragraph 14: </w:t>
      </w:r>
      <w:hyperlink r:id="rId11">
        <w:r>
          <w:rPr>
            <w:color w:val="0000EE"/>
            <w:u w:val="single"/>
          </w:rPr>
          <w:t>[3]</w:t>
        </w:r>
      </w:hyperlink>
      <w:r>
        <w:t xml:space="preserve">, </w:t>
      </w:r>
      <w:hyperlink r:id="rId11">
        <w:r>
          <w:rPr>
            <w:color w:val="0000EE"/>
            <w:u w:val="single"/>
          </w:rPr>
          <w:t>[7]</w:t>
        </w:r>
      </w:hyperlink>
      <w:r>
        <w:t xml:space="preserve">- Paragraph 15: </w:t>
      </w:r>
      <w:hyperlink r:id="rId11">
        <w:r>
          <w:rPr>
            <w:color w:val="0000EE"/>
            <w:u w:val="single"/>
          </w:rPr>
          <w:t>[4]</w:t>
        </w:r>
      </w:hyperlink>
      <w:r>
        <w:t xml:space="preserve">, </w:t>
      </w:r>
      <w:hyperlink r:id="rId11">
        <w:r>
          <w:rPr>
            <w:color w:val="0000EE"/>
            <w:u w:val="single"/>
          </w:rPr>
          <w:t>[5]</w:t>
        </w:r>
      </w:hyperlink>
      <w:r>
        <w:t xml:space="preserve">- Paragraph 16: </w:t>
      </w:r>
      <w:hyperlink r:id="rId10">
        <w:r>
          <w:rPr>
            <w:color w:val="0000EE"/>
            <w:u w:val="single"/>
          </w:rPr>
          <w:t>[2]</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https://www.pharmacytimes.com/view/pharmacist-advocate-ally-delivering-comprehensive-gender-affirming-care</w:t>
        </w:r>
      </w:hyperlink>
      <w:r>
        <w:t xml:space="preserve"> - Please view link - unable to able to access data</w:t>
      </w:r>
      <w:r/>
    </w:p>
    <w:p>
      <w:pPr>
        <w:pStyle w:val="ListNumber"/>
        <w:spacing w:line="240" w:lineRule="auto"/>
        <w:ind w:left="720"/>
      </w:pPr>
      <w:r/>
      <w:hyperlink r:id="rId10">
        <w:r>
          <w:rPr>
            <w:color w:val="0000EE"/>
            <w:u w:val="single"/>
          </w:rPr>
          <w:t>https://www.pewresearch.org/social-trends/2025/05/29/social-acceptance-for-gay-lesbian-bisexual-nonbinary-and-transgender-people/</w:t>
        </w:r>
      </w:hyperlink>
      <w:r>
        <w:t xml:space="preserve"> - A Pew Research Center survey reveals that 66% of LGBTQ adults believe there is more acceptance of transgender individuals today compared to 10 years ago. However, only 13% feel there is a great deal or fair amount of social acceptance for transgender people currently. The survey highlights a significant disparity in acceptance levels between transgender individuals and other LGBTQ groups, with 61% of LGBTQ adults reporting a great deal or fair amount of acceptance for gay or lesbian people, and 52% for bisexual individuals. The findings underscore the ongoing challenges faced by transgender individuals in achieving social acceptance.</w:t>
      </w:r>
      <w:r/>
    </w:p>
    <w:p>
      <w:pPr>
        <w:pStyle w:val="ListNumber"/>
        <w:spacing w:line="240" w:lineRule="auto"/>
        <w:ind w:left="720"/>
      </w:pPr>
      <w:r/>
      <w:hyperlink r:id="rId11">
        <w:r>
          <w:rPr>
            <w:color w:val="0000EE"/>
            <w:u w:val="single"/>
          </w:rPr>
          <w:t>https://academic.oup.com/ajhp/advance-article-abstract/doi/10.1093/ajhp/zxag278/8789781</w:t>
        </w:r>
      </w:hyperlink>
      <w:r>
        <w:t xml:space="preserve"> - A study published in the American Journal of Health-System Pharmacy describes the implementation of a pharmacist-led collaborative drug therapy management (CDTM) service delivering gender-affirming hormone therapy (GAHT) and integrated preventive care within an urban safety-net hospital. The program, initiated in November 2023 at the Pride Health Center within NYC Health + Hospitals/Bellevue, involved a board-certified ambulatory care pharmacist independently initiating and titrating hormone therapy, managing HIV prevention and treatment, sexually transmitted infections, and chronic disease states. The study highlights the potential of pharmacists to play a significant role in providing comprehensive gender-affirming care.</w:t>
      </w:r>
      <w:r/>
    </w:p>
    <w:p>
      <w:pPr>
        <w:pStyle w:val="ListNumber"/>
        <w:spacing w:line="240" w:lineRule="auto"/>
        <w:ind w:left="720"/>
      </w:pPr>
      <w:r/>
      <w:hyperlink r:id="rId11">
        <w:r>
          <w:rPr>
            <w:color w:val="0000EE"/>
            <w:u w:val="single"/>
          </w:rPr>
          <w:t>https://academic.oup.com/ajhp/advance-article-abstract/doi/10.1093/ajhp/zxag278/8789781</w:t>
        </w:r>
      </w:hyperlink>
      <w:r>
        <w:t xml:space="preserve"> - A study published in the American Journal of Health-System Pharmacy describes the implementation of a pharmacist-led collaborative drug therapy management (CDTM) service delivering gender-affirming hormone therapy (GAHT) and integrated preventive care within an urban safety-net hospital. The program, initiated in November 2023 at the Pride Health Center within NYC Health + Hospitals/Bellevue, involved a board-certified ambulatory care pharmacist independently initiating and titrating hormone therapy, managing HIV prevention and treatment, sexually transmitted infections, and chronic disease states. The study highlights the potential of pharmacists to play a significant role in providing comprehensive gender-affirming care.</w:t>
      </w:r>
      <w:r/>
    </w:p>
    <w:p>
      <w:pPr>
        <w:pStyle w:val="ListNumber"/>
        <w:spacing w:line="240" w:lineRule="auto"/>
        <w:ind w:left="720"/>
      </w:pPr>
      <w:r/>
      <w:hyperlink r:id="rId11">
        <w:r>
          <w:rPr>
            <w:color w:val="0000EE"/>
            <w:u w:val="single"/>
          </w:rPr>
          <w:t>https://academic.oup.com/ajhp/advance-article-abstract/doi/10.1093/ajhp/zxag278/8789781</w:t>
        </w:r>
      </w:hyperlink>
      <w:r>
        <w:t xml:space="preserve"> - A study published in the American Journal of Health-System Pharmacy describes the implementation of a pharmacist-led collaborative drug therapy management (CDTM) service delivering gender-affirming hormone therapy (GAHT) and integrated preventive care within an urban safety-net hospital. The program, initiated in November 2023 at the Pride Health Center within NYC Health + Hospitals/Bellevue, involved a board-certified ambulatory care pharmacist independently initiating and titrating hormone therapy, managing HIV prevention and treatment, sexually transmitted infections, and chronic disease states. The study highlights the potential of pharmacists to play a significant role in providing comprehensive gender-affirming care.</w:t>
      </w:r>
      <w:r/>
    </w:p>
    <w:p>
      <w:pPr>
        <w:pStyle w:val="ListNumber"/>
        <w:spacing w:line="240" w:lineRule="auto"/>
        <w:ind w:left="720"/>
      </w:pPr>
      <w:r/>
      <w:hyperlink r:id="rId11">
        <w:r>
          <w:rPr>
            <w:color w:val="0000EE"/>
            <w:u w:val="single"/>
          </w:rPr>
          <w:t>https://academic.oup.com/ajhp/advance-article-abstract/doi/10.1093/ajhp/zxag278/8789781</w:t>
        </w:r>
      </w:hyperlink>
      <w:r>
        <w:t xml:space="preserve"> - A study published in the American Journal of Health-System Pharmacy describes the implementation of a pharmacist-led collaborative drug therapy management (CDTM) service delivering gender-affirming hormone therapy (GAHT) and integrated preventive care within an urban safety-net hospital. The program, initiated in November 2023 at the Pride Health Center within NYC Health + Hospitals/Bellevue, involved a board-certified ambulatory care pharmacist independently initiating and titrating hormone therapy, managing HIV prevention and treatment, sexually transmitted infections, and chronic disease states. The study highlights the potential of pharmacists to play a significant role in providing comprehensive gender-affirming care.</w:t>
      </w:r>
      <w:r/>
    </w:p>
    <w:p>
      <w:pPr>
        <w:pStyle w:val="ListNumber"/>
        <w:spacing w:line="240" w:lineRule="auto"/>
        <w:ind w:left="720"/>
      </w:pPr>
      <w:r/>
      <w:hyperlink r:id="rId11">
        <w:r>
          <w:rPr>
            <w:color w:val="0000EE"/>
            <w:u w:val="single"/>
          </w:rPr>
          <w:t>https://academic.oup.com/ajhp/advance-article-abstract/doi/10.1093/ajhp/zxag278/8789781</w:t>
        </w:r>
      </w:hyperlink>
      <w:r>
        <w:t xml:space="preserve"> - A study published in the American Journal of Health-System Pharmacy describes the implementation of a pharmacist-led collaborative drug therapy management (CDTM) service delivering gender-affirming hormone therapy (GAHT) and integrated preventive care within an urban safety-net hospital. The program, initiated in November 2023 at the Pride Health Center within NYC Health + Hospitals/Bellevue, involved a board-certified ambulatory care pharmacist independently initiating and titrating hormone therapy, managing HIV prevention and treatment, sexually transmitted infections, and chronic disease states. The study highlights the potential of pharmacists to play a significant role in providing comprehensive gender-affirming care.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harmacytimes.com/view/pharmacist-advocate-ally-delivering-comprehensive-gender-affirming-care" TargetMode="External"/><Relationship Id="rId10" Type="http://schemas.openxmlformats.org/officeDocument/2006/relationships/hyperlink" Target="https://www.pewresearch.org/social-trends/2025/05/29/social-acceptance-for-gay-lesbian-bisexual-nonbinary-and-transgender-people/" TargetMode="External"/><Relationship Id="rId11" Type="http://schemas.openxmlformats.org/officeDocument/2006/relationships/hyperlink" Target="https://academic.oup.com/ajhp/advance-article-abstract/doi/10.1093/ajhp/zxag278/878978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