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Incremental Transgender Rights Progress May Last Longer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Advocates for transgender equality are being urged to rethink the politics of immediate, sweeping change. A new argument, drawing on civil-rights history and research into social movements, says practical protections can build public confidence, weaken hostile myths and create a firmer route towards wider reform.</w:t>
      </w:r>
      <w:r/>
    </w:p>
    <w:p>
      <w:pPr>
        <w:pStyle w:val="Heading2"/>
      </w:pPr>
      <w:r>
        <w:t>Essential Takeaways</w:t>
      </w:r>
      <w:r/>
      <w:r/>
    </w:p>
    <w:p>
      <w:pPr>
        <w:pStyle w:val="ListBullet"/>
        <w:spacing w:line="240" w:lineRule="auto"/>
        <w:ind w:left="720"/>
      </w:pPr>
      <w:r/>
      <w:r>
        <w:rPr>
          <w:b/>
        </w:rPr>
        <w:t>Small wins can build momentum:</w:t>
      </w:r>
      <w:r>
        <w:t xml:space="preserve"> Early, popular reforms may make later changes easier to support.</w:t>
      </w:r>
      <w:r/>
    </w:p>
    <w:p>
      <w:pPr>
        <w:pStyle w:val="ListBullet"/>
        <w:spacing w:line="240" w:lineRule="auto"/>
        <w:ind w:left="720"/>
      </w:pPr>
      <w:r/>
      <w:r>
        <w:rPr>
          <w:b/>
        </w:rPr>
        <w:t>Protection matters first:</w:t>
      </w:r>
      <w:r>
        <w:t xml:space="preserve"> Anti-discrimination safeguards are often less politically provocative than measures that reshape other people’s behaviour.</w:t>
      </w:r>
      <w:r/>
    </w:p>
    <w:p>
      <w:pPr>
        <w:pStyle w:val="ListBullet"/>
        <w:spacing w:line="240" w:lineRule="auto"/>
        <w:ind w:left="720"/>
      </w:pPr>
      <w:r/>
      <w:r>
        <w:rPr>
          <w:b/>
        </w:rPr>
        <w:t>Sequencing is strategic:</w:t>
      </w:r>
      <w:r>
        <w:t xml:space="preserve"> Campaigners can promote broad agreement without abandoning harder goals.</w:t>
      </w:r>
      <w:r/>
    </w:p>
    <w:p>
      <w:pPr>
        <w:pStyle w:val="ListBullet"/>
        <w:spacing w:line="240" w:lineRule="auto"/>
        <w:ind w:left="720"/>
      </w:pPr>
      <w:r/>
      <w:r>
        <w:rPr>
          <w:b/>
        </w:rPr>
        <w:t>Public attitudes can shift:</w:t>
      </w:r>
      <w:r>
        <w:t xml:space="preserve"> When feared consequences fail to appear, opposition may lose force.</w:t>
      </w:r>
      <w:r/>
    </w:p>
    <w:p>
      <w:pPr>
        <w:pStyle w:val="ListBullet"/>
        <w:spacing w:line="240" w:lineRule="auto"/>
        <w:ind w:left="720"/>
      </w:pPr>
      <w:r/>
      <w:r>
        <w:rPr>
          <w:b/>
        </w:rPr>
        <w:t>Unity still matters:</w:t>
      </w:r>
      <w:r>
        <w:t xml:space="preserve"> A divided movement risks allowing opponents to define the debate.</w:t>
      </w:r>
      <w:r/>
      <w:r/>
    </w:p>
    <w:p>
      <w:pPr>
        <w:pStyle w:val="Heading2"/>
      </w:pPr>
      <w:r>
        <w:t>The case for starting with achievable protections</w:t>
      </w:r>
      <w:r/>
    </w:p>
    <w:p>
      <w:r/>
      <w:r>
        <w:t xml:space="preserve">The most persuasive political strategy isn't always the loudest or most ambitious one. In debates over transgender rights, advocates may gain more by securing protections that prevent discrimination than by demanding every contested policy change at once. That approach can feel frustratingly slow, but it offers something valuable: a visible record of progress. Research on social change suggests that successful campaigns can alter both public expectations and political calculations. </w:t>
      </w:r>
      <w:hyperlink r:id="rId9">
        <w:r>
          <w:rPr>
            <w:color w:val="0000EE"/>
            <w:u w:val="single"/>
          </w:rPr>
          <w:t>[2]</w:t>
        </w:r>
      </w:hyperlink>
      <w:r>
        <w:t xml:space="preserve">, </w:t>
      </w:r>
      <w:hyperlink r:id="rId10">
        <w:r>
          <w:rPr>
            <w:color w:val="0000EE"/>
            <w:u w:val="single"/>
          </w:rPr>
          <w:t>[3]</w:t>
        </w:r>
      </w:hyperlink>
      <w:r/>
    </w:p>
    <w:p>
      <w:r/>
      <w:r>
        <w:t xml:space="preserve">That doesn't mean difficult questions should disappear. Rather, it means campaigners can choose which battles to foreground, especially when public understanding remains uneven. Employment protection, accurate identity documents and access to clinically recommended care are easier for many voters to grasp than disputes that have become symbolic political flashpoints. </w:t>
      </w:r>
      <w:hyperlink r:id="rId10">
        <w:r>
          <w:rPr>
            <w:color w:val="0000EE"/>
            <w:u w:val="single"/>
          </w:rPr>
          <w:t>[3]</w:t>
        </w:r>
      </w:hyperlink>
      <w:r>
        <w:t xml:space="preserve">, </w:t>
      </w:r>
      <w:hyperlink r:id="rId11">
        <w:r>
          <w:rPr>
            <w:color w:val="0000EE"/>
            <w:u w:val="single"/>
          </w:rPr>
          <w:t>[5]</w:t>
        </w:r>
      </w:hyperlink>
      <w:r/>
    </w:p>
    <w:p>
      <w:pPr>
        <w:pStyle w:val="Heading2"/>
      </w:pPr>
      <w:r>
        <w:t>What civil-rights history can teach today</w:t>
      </w:r>
      <w:r/>
    </w:p>
    <w:p>
      <w:r/>
      <w:r>
        <w:t xml:space="preserve">Earlier equality campaigns often advanced by challenging the clearest forms of unequal treatment first. Legal scholars have shown how anti-discrimination law developed through a mixture of court decisions, legislation and administrative action, with each step helping to make the next one more conceivable. The pattern wasn't neat or automatic, but it demonstrates why sequencing can matter. </w:t>
      </w:r>
      <w:hyperlink r:id="rId12">
        <w:r>
          <w:rPr>
            <w:color w:val="0000EE"/>
            <w:u w:val="single"/>
          </w:rPr>
          <w:t>[4]</w:t>
        </w:r>
      </w:hyperlink>
      <w:r/>
    </w:p>
    <w:p>
      <w:r/>
      <w:r>
        <w:t xml:space="preserve">There is a human element here, too. Once a reform becomes ordinary in daily life, the drama surrounding it can fade. A workplace rule that initially attracts fierce warnings may eventually feel as unremarkable as any other staff policy, particularly when the predicted social upheaval never arrives. That quiet normalisation can be politically powerful. </w:t>
      </w:r>
      <w:hyperlink r:id="rId13">
        <w:r>
          <w:rPr>
            <w:color w:val="0000EE"/>
            <w:u w:val="single"/>
          </w:rPr>
          <w:t>[6]</w:t>
        </w:r>
      </w:hyperlink>
      <w:r/>
    </w:p>
    <w:p>
      <w:pPr>
        <w:pStyle w:val="Heading2"/>
      </w:pPr>
      <w:r>
        <w:t>Shields are often easier to defend than swords</w:t>
      </w:r>
      <w:r/>
    </w:p>
    <w:p>
      <w:r/>
      <w:r>
        <w:t xml:space="preserve">One useful distinction is between safeguards that stop unfair treatment and interventions that ask institutions or individuals to change established practices. The former can be framed around safety, dignity and equal access, while the latter may prompt voters to feel that familiar rules are being overturned. That difference doesn't determine whether a policy is right, but it can shape whether it survives a hostile political climate. </w:t>
      </w:r>
      <w:hyperlink r:id="rId14">
        <w:r>
          <w:rPr>
            <w:color w:val="0000EE"/>
            <w:u w:val="single"/>
          </w:rPr>
          <w:t>[1]</w:t>
        </w:r>
      </w:hyperlink>
      <w:r>
        <w:t xml:space="preserve">, </w:t>
      </w:r>
      <w:hyperlink r:id="rId15">
        <w:r>
          <w:rPr>
            <w:color w:val="0000EE"/>
            <w:u w:val="single"/>
          </w:rPr>
          <w:t>[7]</w:t>
        </w:r>
      </w:hyperlink>
      <w:r/>
    </w:p>
    <w:p>
      <w:r/>
      <w:r>
        <w:t xml:space="preserve">For transgender people, the practical version of this argument points towards protections against discrimination, the ability to obtain documents that reflect one's identity and access to healthcare decisions made with qualified professionals. Privacy measures in shared facilities can also be presented as a constructive way to reduce anxiety without denying anyone's dignity. </w:t>
      </w:r>
      <w:hyperlink r:id="rId11">
        <w:r>
          <w:rPr>
            <w:color w:val="0000EE"/>
            <w:u w:val="single"/>
          </w:rPr>
          <w:t>[5]</w:t>
        </w:r>
      </w:hyperlink>
      <w:r/>
    </w:p>
    <w:p>
      <w:pPr>
        <w:pStyle w:val="Heading2"/>
      </w:pPr>
      <w:r>
        <w:t>Why one disputed issue shouldn't define the whole movement</w:t>
      </w:r>
      <w:r/>
    </w:p>
    <w:p>
      <w:r/>
      <w:r>
        <w:t xml:space="preserve">Sports policy, youth healthcare and gender-related language have each become magnets for political conflict. They matter, but allowing one especially divisive question to stand in for the entire transgender-rights agenda can make broader support harder to sustain. The same strategic problem has appeared in other movements when a single demand became a test of loyalty. </w:t>
      </w:r>
      <w:hyperlink r:id="rId10">
        <w:r>
          <w:rPr>
            <w:color w:val="0000EE"/>
            <w:u w:val="single"/>
          </w:rPr>
          <w:t>[3]</w:t>
        </w:r>
      </w:hyperlink>
      <w:r>
        <w:t xml:space="preserve">, </w:t>
      </w:r>
      <w:hyperlink r:id="rId13">
        <w:r>
          <w:rPr>
            <w:color w:val="0000EE"/>
            <w:u w:val="single"/>
          </w:rPr>
          <w:t>[6]</w:t>
        </w:r>
      </w:hyperlink>
      <w:r/>
    </w:p>
    <w:p>
      <w:r/>
      <w:r>
        <w:t xml:space="preserve">A broader coalition may be more durable if it can agree on core protections while continuing to debate the edges. That requires discipline, because activists understandably want public figures to support every part of a platform. Yet political campaigns often win by showing that people with different views can still stand together on a shared minimum. </w:t>
      </w:r>
      <w:hyperlink r:id="rId15">
        <w:r>
          <w:rPr>
            <w:color w:val="0000EE"/>
            <w:u w:val="single"/>
          </w:rPr>
          <w:t>[7]</w:t>
        </w:r>
      </w:hyperlink>
      <w:r/>
    </w:p>
    <w:p>
      <w:pPr>
        <w:pStyle w:val="Heading2"/>
      </w:pPr>
      <w:r>
        <w:t>Incrementalism isn't surrender</w:t>
      </w:r>
      <w:r/>
    </w:p>
    <w:p>
      <w:r/>
      <w:r>
        <w:t xml:space="preserve">Critics of gradual change warn that compromise can become an excuse for permanent delay. That concern is real, particularly when politicians praise equality in principle while postponing meaningful action. Incrementalism only works when each step is concrete, enforceable and connected to a larger direction, rather than offered as a substitute for progress. </w:t>
      </w:r>
      <w:hyperlink r:id="rId10">
        <w:r>
          <w:rPr>
            <w:color w:val="0000EE"/>
            <w:u w:val="single"/>
          </w:rPr>
          <w:t>[3]</w:t>
        </w:r>
      </w:hyperlink>
      <w:r>
        <w:t xml:space="preserve">, </w:t>
      </w:r>
      <w:hyperlink r:id="rId12">
        <w:r>
          <w:rPr>
            <w:color w:val="0000EE"/>
            <w:u w:val="single"/>
          </w:rPr>
          <w:t>[4]</w:t>
        </w:r>
      </w:hyperlink>
      <w:r/>
    </w:p>
    <w:p>
      <w:r/>
      <w:r>
        <w:t xml:space="preserve">The strongest version of the argument is therefore not "settle for less". It's "build the conditions for more". A successful first reform can give supporters confidence, expose exaggerated predictions and make the next proposal less unfamiliar. For many people watching from the sidelines, that may be how solidarity begins: not with perfect agreement, but with one fair rule that feels difficult to oppose. </w:t>
      </w:r>
      <w:hyperlink r:id="rId9">
        <w:r>
          <w:rPr>
            <w:color w:val="0000EE"/>
            <w:u w:val="single"/>
          </w:rPr>
          <w:t>[2]</w:t>
        </w:r>
      </w:hyperlink>
      <w:r>
        <w:t xml:space="preserve">, </w:t>
      </w:r>
      <w:hyperlink r:id="rId15">
        <w:r>
          <w:rPr>
            <w:color w:val="0000EE"/>
            <w:u w:val="single"/>
          </w:rPr>
          <w:t>[7]</w:t>
        </w:r>
      </w:hyperlink>
      <w:r/>
    </w:p>
    <w:p>
      <w:r/>
      <w:r>
        <w:t>A carefully chosen first step can make the next one possible.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[5]</w:t>
        </w:r>
      </w:hyperlink>
      <w:r>
        <w:t xml:space="preserve">- Paragraph 3: </w:t>
      </w:r>
      <w:hyperlink r:id="rId12">
        <w:r>
          <w:rPr>
            <w:color w:val="0000EE"/>
            <w:u w:val="single"/>
          </w:rPr>
          <w:t>[4]</w:t>
        </w:r>
      </w:hyperlink>
      <w:r>
        <w:t xml:space="preserve">- Paragraph 4: </w:t>
      </w:r>
      <w:hyperlink r:id="rId13">
        <w:r>
          <w:rPr>
            <w:color w:val="0000EE"/>
            <w:u w:val="single"/>
          </w:rPr>
          <w:t>[6]</w:t>
        </w:r>
      </w:hyperlink>
      <w:r>
        <w:t xml:space="preserve">- Paragraph 5: </w:t>
      </w:r>
      <w:hyperlink r:id="rId14">
        <w:r>
          <w:rPr>
            <w:color w:val="0000EE"/>
            <w:u w:val="single"/>
          </w:rPr>
          <w:t>[1]</w:t>
        </w:r>
      </w:hyperlink>
      <w:r>
        <w:t xml:space="preserve">, </w:t>
      </w:r>
      <w:hyperlink r:id="rId15">
        <w:r>
          <w:rPr>
            <w:color w:val="0000EE"/>
            <w:u w:val="single"/>
          </w:rPr>
          <w:t>[7]</w:t>
        </w:r>
      </w:hyperlink>
      <w:r>
        <w:t xml:space="preserve">- Paragraph 6: </w:t>
      </w:r>
      <w:hyperlink r:id="rId11">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5">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9">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https://www.lgbtqnation.com/2026/09/why-incrementalism-leads-to-real-results-instead-of-the-disappointment-of-everything-now/</w:t>
        </w:r>
      </w:hyperlink>
      <w:r>
        <w:t xml:space="preserve"> - Please view link - unable to able to access data</w:t>
      </w:r>
      <w:r/>
    </w:p>
    <w:p>
      <w:pPr>
        <w:pStyle w:val="ListNumber"/>
        <w:spacing w:line="240" w:lineRule="auto"/>
        <w:ind w:left="720"/>
      </w:pPr>
      <w:r/>
      <w:hyperlink r:id="rId9">
        <w:r>
          <w:rPr>
            <w:color w:val="0000EE"/>
            <w:u w:val="single"/>
          </w:rPr>
          <w:t>https://pubmed.ncbi.nlm.nih.gov/37099269/</w:t>
        </w:r>
      </w:hyperlink>
      <w:r>
        <w:t xml:space="preserve"> - This article examines the contrasting approaches of Italy, England, Wales, and Northern Ireland towards the legalization of same-sex marriage. It discusses the theory of incrementalism, which suggests that each step towards same-sex marriage is a logical premise for the next. The study analyses whether this theory holds in practice in the jurisdictions under study, concluding that while incrementalism was helpful in the early stages, it does not always reflect how legal changes have occurred, and in Italy's case, it gives no answers as to when or if same-sex marriage will be legalized.</w:t>
      </w:r>
      <w:r/>
    </w:p>
    <w:p>
      <w:pPr>
        <w:pStyle w:val="ListNumber"/>
        <w:spacing w:line="240" w:lineRule="auto"/>
        <w:ind w:left="720"/>
      </w:pPr>
      <w:r/>
      <w:hyperlink r:id="rId10">
        <w:r>
          <w:rPr>
            <w:color w:val="0000EE"/>
            <w:u w:val="single"/>
          </w:rPr>
          <w:t>https://www.americanprogress.org/article/equality-act-end-incrementalism-progressive-goals/</w:t>
        </w:r>
      </w:hyperlink>
      <w:r>
        <w:t xml:space="preserve"> - This article argues that the time for incrementalism in politics is over and that passing the Equality Act of 2019 is the bold step needed to defend the rights of LGBTQ people in the United States. It reflects on the history of civil rights advancements and advocates for a more assertive approach to achieving equality, moving beyond gradual changes to enact comprehensive protections for LGBTQ individuals.</w:t>
      </w:r>
      <w:r/>
    </w:p>
    <w:p>
      <w:pPr>
        <w:pStyle w:val="ListNumber"/>
        <w:spacing w:line="240" w:lineRule="auto"/>
        <w:ind w:left="720"/>
      </w:pPr>
      <w:r/>
      <w:hyperlink r:id="rId12">
        <w:r>
          <w:rPr>
            <w:color w:val="0000EE"/>
            <w:u w:val="single"/>
          </w:rPr>
          <w:t>https://uknowledge.uky.edu/law_facpub/442/</w:t>
        </w:r>
      </w:hyperlink>
      <w:r>
        <w:t xml:space="preserve"> - This paper discusses the problem of incrementalism in extending rights to marginalized groups, particularly focusing on the LGBTQ community. It critiques the practice of limiting rights to groups on certified lists and explores strategic responses to this issue, concluding that list incrementalism, where rights are extended by adding new groups to a list, is not a defensible strategy for achieving full equality.</w:t>
      </w:r>
      <w:r/>
    </w:p>
    <w:p>
      <w:pPr>
        <w:pStyle w:val="ListNumber"/>
        <w:spacing w:line="240" w:lineRule="auto"/>
        <w:ind w:left="720"/>
      </w:pPr>
      <w:r/>
      <w:hyperlink r:id="rId11">
        <w:r>
          <w:rPr>
            <w:color w:val="0000EE"/>
            <w:u w:val="single"/>
          </w:rPr>
          <w:t>https://papers.ssrn.com/sol3/Delivery.cfm/6281379.pdf?abstractid=6281379&amp;mirid=1</w:t>
        </w:r>
      </w:hyperlink>
      <w:r>
        <w:t xml:space="preserve"> - This paper rethinks the concept of incrementalism in the context of Ruth Bader Ginsburg's career. It examines how Ginsburg's approach to law and social change, characterized by measured steps towards long-term goals, has been perceived and discusses the implications of this strategy for achieving social justice.</w:t>
      </w:r>
      <w:r/>
    </w:p>
    <w:p>
      <w:pPr>
        <w:pStyle w:val="ListNumber"/>
        <w:spacing w:line="240" w:lineRule="auto"/>
        <w:ind w:left="720"/>
      </w:pPr>
      <w:r/>
      <w:hyperlink r:id="rId13">
        <w:r>
          <w:rPr>
            <w:color w:val="0000EE"/>
            <w:u w:val="single"/>
          </w:rPr>
          <w:t>https://www.laprogressive.com/progressive-issues/how-social-justice-wins-are-undone</w:t>
        </w:r>
      </w:hyperlink>
      <w:r>
        <w:t xml:space="preserve"> - This article discusses how social justice victories can be undone and the importance of sustained efforts to maintain progress. It highlights the phenomenon of backlash against marginalized groups and emphasizes the need for continuous advocacy to protect and advance social justice gains.</w:t>
      </w:r>
      <w:r/>
    </w:p>
    <w:p>
      <w:pPr>
        <w:pStyle w:val="ListNumber"/>
        <w:spacing w:line="240" w:lineRule="auto"/>
        <w:ind w:left="720"/>
      </w:pPr>
      <w:r/>
      <w:hyperlink r:id="rId15">
        <w:r>
          <w:rPr>
            <w:color w:val="0000EE"/>
            <w:u w:val="single"/>
          </w:rPr>
          <w:t>https://anamnesisproject.org/2026/01/31/rotting-beams-and-fresh-paint-the-illusion-of-incremental-social-progress/</w:t>
        </w:r>
      </w:hyperlink>
      <w:r>
        <w:t xml:space="preserve"> - This article critiques the concept of incremental social progress, arguing that it often serves as an illusion of control and comfort, while failing to address structural flaws in systems of oppression. It advocates for revolutionary approaches that challenge longstanding cultural foundations to achieve true social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ubmed.ncbi.nlm.nih.gov/37099269/" TargetMode="External"/><Relationship Id="rId10" Type="http://schemas.openxmlformats.org/officeDocument/2006/relationships/hyperlink" Target="https://www.americanprogress.org/article/equality-act-end-incrementalism-progressive-goals/" TargetMode="External"/><Relationship Id="rId11" Type="http://schemas.openxmlformats.org/officeDocument/2006/relationships/hyperlink" Target="https://papers.ssrn.com/sol3/Delivery.cfm/6281379.pdf?abstractid=6281379&amp;mirid=1" TargetMode="External"/><Relationship Id="rId12" Type="http://schemas.openxmlformats.org/officeDocument/2006/relationships/hyperlink" Target="https://uknowledge.uky.edu/law_facpub/442/" TargetMode="External"/><Relationship Id="rId13" Type="http://schemas.openxmlformats.org/officeDocument/2006/relationships/hyperlink" Target="https://www.laprogressive.com/progressive-issues/how-social-justice-wins-are-undone" TargetMode="External"/><Relationship Id="rId14" Type="http://schemas.openxmlformats.org/officeDocument/2006/relationships/hyperlink" Target="https://www.lgbtqnation.com/2026/09/why-incrementalism-leads-to-real-results-instead-of-the-disappointment-of-everything-now/" TargetMode="External"/><Relationship Id="rId15" Type="http://schemas.openxmlformats.org/officeDocument/2006/relationships/hyperlink" Target="https://anamnesisproject.org/2026/01/31/rotting-beams-and-fresh-paint-the-illusion-of-incremental-social-progres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