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Florida Cities Defend LGBTQ+ Funding Before New DEI Law</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Local leaders in Miami Beach and Tallahassee are keeping support for LGBTQ+ and diverse community programmes in place before Florida’s new anti-DEI law takes effect. Their votes offer a practical reminder that cities can examine what the law requires, rather than surrendering valued local services early.</w:t>
      </w:r>
      <w:r/>
    </w:p>
    <w:p>
      <w:pPr>
        <w:pStyle w:val="Heading2"/>
      </w:pPr>
      <w:r>
        <w:t>Essential Takeaways</w:t>
      </w:r>
      <w:r/>
      <w:r/>
    </w:p>
    <w:p>
      <w:pPr>
        <w:pStyle w:val="ListBullet"/>
        <w:spacing w:line="240" w:lineRule="auto"/>
        <w:ind w:left="720"/>
      </w:pPr>
      <w:r/>
      <w:r>
        <w:rPr>
          <w:b/>
        </w:rPr>
        <w:t>New restrictions begin in 2027:</w:t>
      </w:r>
      <w:r>
        <w:t xml:space="preserve"> Senate Bill 1134 takes effect on 1 January 2027 and limits certain local government actions involving diversity, equity and inclusion.</w:t>
      </w:r>
      <w:r/>
    </w:p>
    <w:p>
      <w:pPr>
        <w:pStyle w:val="ListBullet"/>
        <w:spacing w:line="240" w:lineRule="auto"/>
        <w:ind w:left="720"/>
      </w:pPr>
      <w:r/>
      <w:r>
        <w:rPr>
          <w:b/>
        </w:rPr>
        <w:t>Miami Beach protected existing support:</w:t>
      </w:r>
      <w:r>
        <w:t xml:space="preserve"> Commissioners voted unanimously to preserve funding for Miami Beach Pride and other LGBTQ+ initiatives.</w:t>
      </w:r>
      <w:r/>
    </w:p>
    <w:p>
      <w:pPr>
        <w:pStyle w:val="ListBullet"/>
        <w:spacing w:line="240" w:lineRule="auto"/>
        <w:ind w:left="720"/>
      </w:pPr>
      <w:r/>
      <w:r>
        <w:rPr>
          <w:b/>
        </w:rPr>
        <w:t>Tallahassee kept key programmes running:</w:t>
      </w:r>
      <w:r>
        <w:t xml:space="preserve"> Leaders backed continued funding and staffing for women and girls’ services, alongside support for Pride and cultural festivals.</w:t>
      </w:r>
      <w:r/>
    </w:p>
    <w:p>
      <w:pPr>
        <w:pStyle w:val="ListBullet"/>
        <w:spacing w:line="240" w:lineRule="auto"/>
        <w:ind w:left="720"/>
      </w:pPr>
      <w:r/>
      <w:r>
        <w:rPr>
          <w:b/>
        </w:rPr>
        <w:t>The decision is about local judgement:</w:t>
      </w:r>
      <w:r>
        <w:t xml:space="preserve"> Civil rights groups say cities shouldn’t voluntarily cut programmes before the law requires them to do so.</w:t>
      </w:r>
      <w:r/>
      <w:r/>
    </w:p>
    <w:p>
      <w:pPr>
        <w:pStyle w:val="Heading2"/>
      </w:pPr>
      <w:r>
        <w:t>Miami Beach and Tallahassee choose caution over cuts</w:t>
      </w:r>
      <w:r/>
    </w:p>
    <w:p>
      <w:r/>
      <w:r>
        <w:t xml:space="preserve">The most important detail is also the simplest: neither city rushed to pull the plug. Miami Beach commissioners unanimously voted to retain funding for Miami Beach Pride and related LGBTQ+ community initiatives, while Tallahassee leaders agreed to maintain support for several programmes and festivals. The ACLU of Florida described the votes as a refusal to make cuts ahead of the law’s start date. </w:t>
      </w:r>
      <w:hyperlink r:id="rId9">
        <w:r>
          <w:rPr>
            <w:color w:val="0000EE"/>
            <w:u w:val="single"/>
          </w:rPr>
          <w:t>[3]</w:t>
        </w:r>
      </w:hyperlink>
      <w:r>
        <w:t xml:space="preserve">, </w:t>
      </w:r>
      <w:hyperlink r:id="rId10">
        <w:r>
          <w:rPr>
            <w:color w:val="0000EE"/>
            <w:u w:val="single"/>
          </w:rPr>
          <w:t>[4]</w:t>
        </w:r>
      </w:hyperlink>
      <w:r/>
    </w:p>
    <w:p>
      <w:r/>
      <w:r>
        <w:t xml:space="preserve">That matters because public funding can feel abstract until it pays for a visible, welcoming event or a service people rely on. A Pride celebration, a women’s support programme or a cultural festival can be where residents find information, friendship and a sense that their city sees them. </w:t>
      </w:r>
      <w:hyperlink r:id="rId9">
        <w:r>
          <w:rPr>
            <w:color w:val="0000EE"/>
            <w:u w:val="single"/>
          </w:rPr>
          <w:t>[3]</w:t>
        </w:r>
      </w:hyperlink>
      <w:r>
        <w:t xml:space="preserve">, </w:t>
      </w:r>
      <w:hyperlink r:id="rId10">
        <w:r>
          <w:rPr>
            <w:color w:val="0000EE"/>
            <w:u w:val="single"/>
          </w:rPr>
          <w:t>[4]</w:t>
        </w:r>
      </w:hyperlink>
      <w:r/>
    </w:p>
    <w:p>
      <w:pPr>
        <w:pStyle w:val="Heading2"/>
      </w:pPr>
      <w:r>
        <w:t>What Florida’s new anti-DEI law changes</w:t>
      </w:r>
      <w:r/>
    </w:p>
    <w:p>
      <w:r/>
      <w:r>
        <w:t xml:space="preserve">Senate Bill 1134, titled “Official Actions of Local Governments”, is due to take effect on 1 January 2027. The measure places restrictions on counties and municipalities funding, promoting or taking certain official actions connected with diversity, equity and inclusion, including some programmes, offices, contracts and grants. </w:t>
      </w:r>
      <w:hyperlink r:id="rId11">
        <w:r>
          <w:rPr>
            <w:color w:val="0000EE"/>
            <w:u w:val="single"/>
          </w:rPr>
          <w:t>[2]</w:t>
        </w:r>
      </w:hyperlink>
      <w:r>
        <w:t xml:space="preserve">, </w:t>
      </w:r>
      <w:hyperlink r:id="rId12">
        <w:r>
          <w:rPr>
            <w:color w:val="0000EE"/>
            <w:u w:val="single"/>
          </w:rPr>
          <w:t>[5]</w:t>
        </w:r>
      </w:hyperlink>
      <w:r>
        <w:t xml:space="preserve">, </w:t>
      </w:r>
      <w:hyperlink r:id="rId13">
        <w:r>
          <w:rPr>
            <w:color w:val="0000EE"/>
            <w:u w:val="single"/>
          </w:rPr>
          <w:t>[6]</w:t>
        </w:r>
      </w:hyperlink>
      <w:r/>
    </w:p>
    <w:p>
      <w:r/>
      <w:r>
        <w:t xml:space="preserve">The wording is important. A law restricting particular activities doesn’t necessarily mean every existing community programme must disappear immediately. That distinction sits at the heart of the Miami Beach and Tallahassee decisions, and it’s why legal interpretation matters as much as political messaging.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p>
    <w:p>
      <w:pPr>
        <w:pStyle w:val="Heading2"/>
      </w:pPr>
      <w:r>
        <w:t>Why local leaders are pushing back before 2027</w:t>
      </w:r>
      <w:r/>
    </w:p>
    <w:p>
      <w:r/>
      <w:r>
        <w:t xml:space="preserve">The ACLU of Florida, Equality Florida and the Community Justice Project previously urged 156 cities and counties not to give up their local authority voluntarily before the legislation became effective. Their argument was straightforward: officials should read the final rules carefully and respond to what they actually require. </w:t>
      </w:r>
      <w:hyperlink r:id="rId9">
        <w:r>
          <w:rPr>
            <w:color w:val="0000EE"/>
            <w:u w:val="single"/>
          </w:rPr>
          <w:t>[3]</w:t>
        </w:r>
      </w:hyperlink>
      <w:r>
        <w:t xml:space="preserve">, </w:t>
      </w:r>
      <w:hyperlink r:id="rId10">
        <w:r>
          <w:rPr>
            <w:color w:val="0000EE"/>
            <w:u w:val="single"/>
          </w:rPr>
          <w:t>[4]</w:t>
        </w:r>
      </w:hyperlink>
      <w:r/>
    </w:p>
    <w:p>
      <w:r/>
      <w:r>
        <w:t xml:space="preserve">That approach may sound procedural, but it has a human consequence. Cutting staff, grants or events early can create damage that’s difficult to reverse, even if a programme might have been allowed to continue. For residents watching support disappear elsewhere, a careful pause can feel surprisingly powerful. </w:t>
      </w:r>
      <w:hyperlink r:id="rId9">
        <w:r>
          <w:rPr>
            <w:color w:val="0000EE"/>
            <w:u w:val="single"/>
          </w:rPr>
          <w:t>[3]</w:t>
        </w:r>
      </w:hyperlink>
      <w:r>
        <w:t xml:space="preserve">, </w:t>
      </w:r>
      <w:hyperlink r:id="rId10">
        <w:r>
          <w:rPr>
            <w:color w:val="0000EE"/>
            <w:u w:val="single"/>
          </w:rPr>
          <w:t>[4]</w:t>
        </w:r>
      </w:hyperlink>
      <w:r/>
    </w:p>
    <w:p>
      <w:pPr>
        <w:pStyle w:val="Heading2"/>
      </w:pPr>
      <w:r>
        <w:t>The wider fight over LGBTQ+ services and festivals</w:t>
      </w:r>
      <w:r/>
    </w:p>
    <w:p>
      <w:r/>
      <w:r>
        <w:t xml:space="preserve">The Tallahassee vote covered more than one headline event. Leaders supported continued backing for the Tallahassee-Leon County Commission on the Status of Women &amp; Girls, as well as Tallahassee Pride, the Experience Asia Festival and the Filipino Festival. Together, those decisions show how DEI debates reach into everyday civic life, from cultural celebrations to practical community support. </w:t>
      </w:r>
      <w:hyperlink r:id="rId9">
        <w:r>
          <w:rPr>
            <w:color w:val="0000EE"/>
            <w:u w:val="single"/>
          </w:rPr>
          <w:t>[3]</w:t>
        </w:r>
      </w:hyperlink>
      <w:r>
        <w:t xml:space="preserve">, </w:t>
      </w:r>
      <w:hyperlink r:id="rId10">
        <w:r>
          <w:rPr>
            <w:color w:val="0000EE"/>
            <w:u w:val="single"/>
          </w:rPr>
          <w:t>[4]</w:t>
        </w:r>
      </w:hyperlink>
      <w:r/>
    </w:p>
    <w:p>
      <w:r/>
      <w:r>
        <w:t xml:space="preserve">It also reflects a broader tension between state-level restrictions and local priorities. Florida’s cities serve residents with different histories, needs and identities, so a single statewide policy can land very differently from one neighbourhood to the next. The quiet work of keeping a programme open may not make much noise online, but it can matter deeply to the people who use it. </w:t>
      </w:r>
      <w:hyperlink r:id="rId9">
        <w:r>
          <w:rPr>
            <w:color w:val="0000EE"/>
            <w:u w:val="single"/>
          </w:rPr>
          <w:t>[3]</w:t>
        </w:r>
      </w:hyperlink>
      <w:r>
        <w:t xml:space="preserve">, </w:t>
      </w:r>
      <w:hyperlink r:id="rId14">
        <w:r>
          <w:rPr>
            <w:color w:val="0000EE"/>
            <w:u w:val="single"/>
          </w:rPr>
          <w:t>[7]</w:t>
        </w:r>
      </w:hyperlink>
      <w:r/>
    </w:p>
    <w:p>
      <w:pPr>
        <w:pStyle w:val="Heading2"/>
      </w:pPr>
      <w:r>
        <w:t>What residents can do next</w:t>
      </w:r>
      <w:r/>
    </w:p>
    <w:p>
      <w:r/>
      <w:r>
        <w:t xml:space="preserve">Residents who want to help can follow local commission meetings, ask how existing grants and programmes are being assessed, and contact civil rights organisations for reliable updates. Equality Florida and the ACLU of Florida are among the groups monitoring the law and its effect on LGBTQ+ communities and local government. </w:t>
      </w:r>
      <w:hyperlink r:id="rId9">
        <w:r>
          <w:rPr>
            <w:color w:val="0000EE"/>
            <w:u w:val="single"/>
          </w:rPr>
          <w:t>[3]</w:t>
        </w:r>
      </w:hyperlink>
      <w:r>
        <w:t xml:space="preserve">, </w:t>
      </w:r>
      <w:hyperlink r:id="rId10">
        <w:r>
          <w:rPr>
            <w:color w:val="0000EE"/>
            <w:u w:val="single"/>
          </w:rPr>
          <w:t>[4]</w:t>
        </w:r>
      </w:hyperlink>
      <w:r/>
    </w:p>
    <w:p>
      <w:r/>
      <w:r>
        <w:t xml:space="preserve">It’s also worth looking beyond annual festivals. Community centres, support services, cultural groups and women’s programmes often depend on the same small ecosystem of public backing, volunteers and local partnerships. If you care about LGBTQ+ rights in Florida, showing up consistently may be more useful than waiting for one dramatic moment. </w:t>
      </w:r>
      <w:hyperlink r:id="rId9">
        <w:r>
          <w:rPr>
            <w:color w:val="0000EE"/>
            <w:u w:val="single"/>
          </w:rPr>
          <w:t>[3]</w:t>
        </w:r>
      </w:hyperlink>
      <w:r>
        <w:t xml:space="preserve">, </w:t>
      </w:r>
      <w:hyperlink r:id="rId10">
        <w:r>
          <w:rPr>
            <w:color w:val="0000EE"/>
            <w:u w:val="single"/>
          </w:rPr>
          <w:t>[4]</w:t>
        </w:r>
      </w:hyperlink>
      <w:r/>
    </w:p>
    <w:p>
      <w:r/>
      <w:r>
        <w:t>Careful local action won’t settle the wider debate, but it can keep valued support in place while the rules are challenged and understood.</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[4]</w:t>
        </w:r>
      </w:hyperlink>
      <w:r>
        <w:t xml:space="preserve">- Paragraph 2: </w:t>
      </w:r>
      <w:hyperlink r:id="rId9">
        <w:r>
          <w:rPr>
            <w:color w:val="0000EE"/>
            <w:u w:val="single"/>
          </w:rPr>
          <w:t>[3]</w:t>
        </w:r>
      </w:hyperlink>
      <w:r>
        <w:t xml:space="preserve">, </w:t>
      </w:r>
      <w:hyperlink r:id="rId10">
        <w:r>
          <w:rPr>
            <w:color w:val="0000EE"/>
            <w:u w:val="single"/>
          </w:rPr>
          <w:t>[4]</w:t>
        </w:r>
      </w:hyperlink>
      <w:r>
        <w:t xml:space="preserve">- Paragraph 3: </w:t>
      </w:r>
      <w:hyperlink r:id="rId11">
        <w:r>
          <w:rPr>
            <w:color w:val="0000EE"/>
            <w:u w:val="single"/>
          </w:rPr>
          <w:t>[2]</w:t>
        </w:r>
      </w:hyperlink>
      <w:r>
        <w:t xml:space="preserve">, </w:t>
      </w:r>
      <w:hyperlink r:id="rId12">
        <w:r>
          <w:rPr>
            <w:color w:val="0000EE"/>
            <w:u w:val="single"/>
          </w:rPr>
          <w:t>[5]</w:t>
        </w:r>
      </w:hyperlink>
      <w:r>
        <w:t xml:space="preserve">, </w:t>
      </w:r>
      <w:hyperlink r:id="rId13">
        <w:r>
          <w:rPr>
            <w:color w:val="0000EE"/>
            <w:u w:val="single"/>
          </w:rPr>
          <w:t>[6]</w:t>
        </w:r>
      </w:hyperlink>
      <w:r>
        <w:t xml:space="preserve">- Paragraph 4: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t xml:space="preserve">- Paragraph 5: </w:t>
      </w:r>
      <w:hyperlink r:id="rId9">
        <w:r>
          <w:rPr>
            <w:color w:val="0000EE"/>
            <w:u w:val="single"/>
          </w:rPr>
          <w:t>[3]</w:t>
        </w:r>
      </w:hyperlink>
      <w:r>
        <w:t xml:space="preserve">, </w:t>
      </w:r>
      <w:hyperlink r:id="rId10">
        <w:r>
          <w:rPr>
            <w:color w:val="0000EE"/>
            <w:u w:val="single"/>
          </w:rPr>
          <w:t>[4]</w:t>
        </w:r>
      </w:hyperlink>
      <w:r>
        <w:t xml:space="preserve">- Paragraph 6: </w:t>
      </w:r>
      <w:hyperlink r:id="rId9">
        <w:r>
          <w:rPr>
            <w:color w:val="0000EE"/>
            <w:u w:val="single"/>
          </w:rPr>
          <w:t>[3]</w:t>
        </w:r>
      </w:hyperlink>
      <w:r>
        <w:t xml:space="preserve">, </w:t>
      </w:r>
      <w:hyperlink r:id="rId10">
        <w:r>
          <w:rPr>
            <w:color w:val="0000EE"/>
            <w:u w:val="single"/>
          </w:rPr>
          <w:t>[4]</w:t>
        </w:r>
      </w:hyperlink>
      <w:r>
        <w:t xml:space="preserve">- Paragraph 7: </w:t>
      </w:r>
      <w:hyperlink r:id="rId9">
        <w:r>
          <w:rPr>
            <w:color w:val="0000EE"/>
            <w:u w:val="single"/>
          </w:rPr>
          <w:t>[3]</w:t>
        </w:r>
      </w:hyperlink>
      <w:r>
        <w:t xml:space="preserve">, </w:t>
      </w:r>
      <w:hyperlink r:id="rId14">
        <w:r>
          <w:rPr>
            <w:color w:val="0000EE"/>
            <w:u w:val="single"/>
          </w:rPr>
          <w:t>[7]</w:t>
        </w:r>
      </w:hyperlink>
      <w:r>
        <w:t xml:space="preserve">- Paragraph 8: </w:t>
      </w:r>
      <w:hyperlink r:id="rId9">
        <w:r>
          <w:rPr>
            <w:color w:val="0000EE"/>
            <w:u w:val="single"/>
          </w:rPr>
          <w:t>[3]</w:t>
        </w:r>
      </w:hyperlink>
      <w:r>
        <w:t xml:space="preserve">, </w:t>
      </w:r>
      <w:hyperlink r:id="rId10">
        <w:r>
          <w:rPr>
            <w:color w:val="0000EE"/>
            <w:u w:val="single"/>
          </w:rPr>
          <w:t>[4]</w:t>
        </w:r>
      </w:hyperlink>
      <w:r>
        <w:t xml:space="preserve">- Paragraph 9: </w:t>
      </w:r>
      <w:hyperlink r:id="rId9">
        <w:r>
          <w:rPr>
            <w:color w:val="0000EE"/>
            <w:u w:val="single"/>
          </w:rPr>
          <w:t>[3]</w:t>
        </w:r>
      </w:hyperlink>
      <w:r>
        <w:t xml:space="preserve">, </w:t>
      </w:r>
      <w:hyperlink r:id="rId10">
        <w:r>
          <w:rPr>
            <w:color w:val="0000EE"/>
            <w:u w:val="single"/>
          </w:rPr>
          <w:t>[4]</w:t>
        </w:r>
      </w:hyperlink>
      <w:r>
        <w:t xml:space="preserve">- Paragraph 10: </w:t>
      </w:r>
      <w:hyperlink r:id="rId9">
        <w:r>
          <w:rPr>
            <w:color w:val="0000EE"/>
            <w:u w:val="single"/>
          </w:rPr>
          <w:t>[3]</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https://passportmagazine.com/florida-cities-stand-up-for-equal-rights/</w:t>
        </w:r>
      </w:hyperlink>
      <w:r>
        <w:t xml:space="preserve"> - Please view link - unable to able to access data</w:t>
      </w:r>
      <w:r/>
    </w:p>
    <w:p>
      <w:pPr>
        <w:pStyle w:val="ListNumber"/>
        <w:spacing w:line="240" w:lineRule="auto"/>
        <w:ind w:left="720"/>
      </w:pPr>
      <w:r/>
      <w:hyperlink r:id="rId11">
        <w:r>
          <w:rPr>
            <w:color w:val="0000EE"/>
            <w:u w:val="single"/>
          </w:rPr>
          <w:t>https://www.flsenate.gov/Session/Bill/2026/01134</w:t>
        </w:r>
      </w:hyperlink>
      <w:r>
        <w:t xml:space="preserve"> - Florida Senate Bill 1134, titled 'Official Actions of Local Governments,' prohibits counties and municipalities from funding, promoting, or taking official actions related to diversity, equity, and inclusion (DEI). Effective January 1, 2027, the bill also restricts local DEI programs, offices, contracts, and grants. Violations by county or municipal officials acting in an official capacity are classified as misfeasance or malfeasance in office. The bill includes exceptions for compliance with general or federal law and certain other actions. The bill passed the Senate with a vote of 25-11 and the House with a vote of 77-37.</w:t>
      </w:r>
      <w:r/>
    </w:p>
    <w:p>
      <w:pPr>
        <w:pStyle w:val="ListNumber"/>
        <w:spacing w:line="240" w:lineRule="auto"/>
        <w:ind w:left="720"/>
      </w:pPr>
      <w:r/>
      <w:hyperlink r:id="rId9">
        <w:r>
          <w:rPr>
            <w:color w:val="0000EE"/>
            <w:u w:val="single"/>
          </w:rPr>
          <w:t>https://www.aclufl.org/press-releases/aclu-of-florida-applauds-miami-beach-and-tallahassee-leaders-for-refusing-to-cut-funding-for-diverse-community-programs-before-the-anti-diversity-law-takes-effect/</w:t>
        </w:r>
      </w:hyperlink>
      <w:r>
        <w:t xml:space="preserve"> - The ACLU of Florida commended leaders in Miami Beach and Tallahassee for maintaining funding for diverse community programs ahead of the implementation of Senate Bill 1134. Both cities voted to preserve current funding and support for community programs, rejecting attempts to prematurely defund initiatives serving diverse communities. The ACLU, along with Equality Florida and the Community Justice Project, had previously urged 156 cities and counties across the state not to voluntarily surrender their local authority ahead of the law’s effective date.</w:t>
      </w:r>
      <w:r/>
    </w:p>
    <w:p>
      <w:pPr>
        <w:pStyle w:val="ListNumber"/>
        <w:spacing w:line="240" w:lineRule="auto"/>
        <w:ind w:left="720"/>
      </w:pPr>
      <w:r/>
      <w:hyperlink r:id="rId10">
        <w:r>
          <w:rPr>
            <w:color w:val="0000EE"/>
            <w:u w:val="single"/>
          </w:rPr>
          <w:t>https://www.axios.com/local/miami/2026/03/05/florida-diversity-dei-bill</w:t>
        </w:r>
      </w:hyperlink>
      <w:r>
        <w:t xml:space="preserve"> - Local leaders across Florida have publicly criticized proposed legislation—House Bill 1001 and Senate Bill 1134—that seeks to prohibit city and county governments from supporting community events, training, or activities referencing race, gender, or sexual orientation. The bills, which recently passed the Florida Senate, would also ban the promotion, funding, or endorsement of diversity, equity, and inclusion (DEI) initiatives, as well as the establishment of DEI offices at the local government level. Critics argue that the legislation is overly broad and could disrupt community programs ranging from LGBTQ Pride celebrations to cultural events like St. Patrick's Day.</w:t>
      </w:r>
      <w:r/>
    </w:p>
    <w:p>
      <w:pPr>
        <w:pStyle w:val="ListNumber"/>
        <w:spacing w:line="240" w:lineRule="auto"/>
        <w:ind w:left="720"/>
      </w:pPr>
      <w:r/>
      <w:hyperlink r:id="rId12">
        <w:r>
          <w:rPr>
            <w:color w:val="0000EE"/>
            <w:u w:val="single"/>
          </w:rPr>
          <w:t>https://www.flsenate.gov/Session/Bill/2026/1134/BillText/Filed/PDF</w:t>
        </w:r>
      </w:hyperlink>
      <w:r>
        <w:t xml:space="preserve"> - The filed version of Florida Senate Bill 1134 outlines the proposed legislation prohibiting counties and municipalities from funding, promoting, or taking official actions related to diversity, equity, and inclusion (DEI). The bill defines DEI broadly to include efforts tied to race, color, sex, ethnicity, gender identity, or sexual orientation when used to influence hiring composition, provide preferential treatment or special benefits, or promote training or programming designed with reference to those characteristics. It also bars local governments from creating or funding DEI offices or employing DEI officers, and it voids existing local ordinances, resolutions, rules, regulations, programs, or policies that conflict with the new restrictions.</w:t>
      </w:r>
      <w:r/>
    </w:p>
    <w:p>
      <w:pPr>
        <w:pStyle w:val="ListNumber"/>
        <w:spacing w:line="240" w:lineRule="auto"/>
        <w:ind w:left="720"/>
      </w:pPr>
      <w:r/>
      <w:hyperlink r:id="rId13">
        <w:r>
          <w:rPr>
            <w:color w:val="0000EE"/>
            <w:u w:val="single"/>
          </w:rPr>
          <w:t>https://www.flsenate.gov/Session/Bill/2026/1134/BillText/Filed/HTML</w:t>
        </w:r>
      </w:hyperlink>
      <w:r>
        <w:t xml:space="preserve"> - The HTML version of Florida Senate Bill 1134 provides the full text of the proposed legislation, detailing the prohibitions on counties and municipalities from funding, promoting, or taking official actions related to diversity, equity, and inclusion (DEI). The bill specifies the definitions of DEI and outlines the restrictions on local governments, including the prohibition of establishing or funding DEI offices or officers. It also addresses the voiding of existing local ordinances, resolutions, rules, regulations, programs, or policies that conflict with the new restrictions.</w:t>
      </w:r>
      <w:r/>
    </w:p>
    <w:p>
      <w:pPr>
        <w:pStyle w:val="ListNumber"/>
        <w:spacing w:line="240" w:lineRule="auto"/>
        <w:ind w:left="720"/>
      </w:pPr>
      <w:r/>
      <w:hyperlink r:id="rId14">
        <w:r>
          <w:rPr>
            <w:color w:val="0000EE"/>
            <w:u w:val="single"/>
          </w:rPr>
          <w:t>https://app.legiplex.com/fl/legislature/2026/2026-r/bills/s1134</w:t>
        </w:r>
      </w:hyperlink>
      <w:r>
        <w:t xml:space="preserve"> - LegiPlex provides a comprehensive overview of Florida Senate Bill S1134, including its legislative history, status, and related bills. The bill, titled 'Official Actions of Local Governments,' prohibits counties and municipalities from funding, promoting, or taking official actions related to diversity, equity, and inclusion (DEI). It also bars local governments from creating or funding DEI offices or employing DEI officers, and it voids existing local ordinances, resolutions, rules, regulations, programs, or policies that conflict with the new restrictions. The bill passed the Senate on April 22, 2026, and was approved by the Governor on April 23, 2026.</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clufl.org/press-releases/aclu-of-florida-applauds-miami-beach-and-tallahassee-leaders-for-refusing-to-cut-funding-for-diverse-community-programs-before-the-anti-diversity-law-takes-effect/" TargetMode="External"/><Relationship Id="rId10" Type="http://schemas.openxmlformats.org/officeDocument/2006/relationships/hyperlink" Target="https://www.axios.com/local/miami/2026/03/05/florida-diversity-dei-bill" TargetMode="External"/><Relationship Id="rId11" Type="http://schemas.openxmlformats.org/officeDocument/2006/relationships/hyperlink" Target="https://www.flsenate.gov/Session/Bill/2026/01134" TargetMode="External"/><Relationship Id="rId12" Type="http://schemas.openxmlformats.org/officeDocument/2006/relationships/hyperlink" Target="https://www.flsenate.gov/Session/Bill/2026/1134/BillText/Filed/PDF" TargetMode="External"/><Relationship Id="rId13" Type="http://schemas.openxmlformats.org/officeDocument/2006/relationships/hyperlink" Target="https://www.flsenate.gov/Session/Bill/2026/1134/BillText/Filed/HTML" TargetMode="External"/><Relationship Id="rId14" Type="http://schemas.openxmlformats.org/officeDocument/2006/relationships/hyperlink" Target="https://app.legiplex.com/fl/legislature/2026/2026-r/bills/s1134" TargetMode="External"/><Relationship Id="rId15" Type="http://schemas.openxmlformats.org/officeDocument/2006/relationships/hyperlink" Target="https://passportmagazine.com/florida-cities-stand-up-for-equal-righ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