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 India Now review: what this anthology leaves out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looking for a wide-ranging account of queer India will find a 272-page anthology that brings together voices from across the country, but its approach has prompted serious questions about representation, language and political depth. The debate matters because who gets to tell these stories can shape how queer life is understood.</w:t>
      </w:r>
      <w:r/>
    </w:p>
    <w:p>
      <w:pPr>
        <w:pStyle w:val="Heading2"/>
      </w:pPr>
      <w:r>
        <w:t>Essential Takeaways</w:t>
      </w:r>
      <w:r/>
      <w:r/>
    </w:p>
    <w:p>
      <w:pPr>
        <w:pStyle w:val="ListBullet"/>
        <w:spacing w:line="240" w:lineRule="auto"/>
        <w:ind w:left="720"/>
      </w:pPr>
      <w:r/>
      <w:r>
        <w:rPr>
          <w:b/>
        </w:rPr>
        <w:t>A broad collection:</w:t>
      </w:r>
      <w:r>
        <w:t xml:space="preserve"> </w:t>
      </w:r>
      <w:r>
        <w:rPr>
          <w:i/>
        </w:rPr>
        <w:t>Queer India Now</w:t>
      </w:r>
      <w:r>
        <w:t xml:space="preserve"> gathers essays, personal accounts and creative work from LGBTQIA+ contributors across India.</w:t>
      </w:r>
      <w:r/>
    </w:p>
    <w:p>
      <w:pPr>
        <w:pStyle w:val="ListBullet"/>
        <w:spacing w:line="240" w:lineRule="auto"/>
        <w:ind w:left="720"/>
      </w:pPr>
      <w:r/>
      <w:r>
        <w:rPr>
          <w:b/>
        </w:rPr>
        <w:t>A contested framework:</w:t>
      </w:r>
      <w:r>
        <w:t xml:space="preserve"> Critics argue that its diversity, equity and inclusion approach can flatten local histories and identities.</w:t>
      </w:r>
      <w:r/>
    </w:p>
    <w:p>
      <w:pPr>
        <w:pStyle w:val="ListBullet"/>
        <w:spacing w:line="240" w:lineRule="auto"/>
        <w:ind w:left="720"/>
      </w:pPr>
      <w:r/>
      <w:r>
        <w:rPr>
          <w:b/>
        </w:rPr>
        <w:t>Law isn't the whole story:</w:t>
      </w:r>
      <w:r>
        <w:t xml:space="preserve"> The collection highlights continuing violence and exclusion despite legal change.</w:t>
      </w:r>
      <w:r/>
    </w:p>
    <w:p>
      <w:pPr>
        <w:pStyle w:val="ListBullet"/>
        <w:spacing w:line="240" w:lineRule="auto"/>
        <w:ind w:left="720"/>
      </w:pPr>
      <w:r/>
      <w:r>
        <w:rPr>
          <w:b/>
        </w:rPr>
        <w:t>Important omissions:</w:t>
      </w:r>
      <w:r>
        <w:t xml:space="preserve"> Indigenous and regionally specific identities, including hijra and thirunangai communities, receive little or no space.</w:t>
      </w:r>
      <w:r/>
    </w:p>
    <w:p>
      <w:pPr>
        <w:pStyle w:val="ListBullet"/>
        <w:spacing w:line="240" w:lineRule="auto"/>
        <w:ind w:left="720"/>
      </w:pPr>
      <w:r/>
      <w:r>
        <w:rPr>
          <w:b/>
        </w:rPr>
        <w:t>Uneven impact:</w:t>
      </w:r>
      <w:r>
        <w:t xml:space="preserve"> Some contributions offer cultural and personal insight, while others are criticised as brief, generalised or underdeveloped.</w:t>
      </w:r>
      <w:r/>
      <w:r/>
    </w:p>
    <w:p>
      <w:pPr>
        <w:pStyle w:val="Heading2"/>
      </w:pPr>
      <w:r>
        <w:t>A big book with an even bigger question</w:t>
      </w:r>
      <w:r/>
    </w:p>
    <w:p>
      <w:r/>
      <w:r>
        <w:t xml:space="preserve">The most striking thing about </w:t>
      </w:r>
      <w:r>
        <w:rPr>
          <w:i/>
        </w:rPr>
        <w:t>Queer India Now</w:t>
      </w:r>
      <w:r>
        <w:t xml:space="preserve"> is its ambition. Edited by Dhrubo Jyoti and Dhamini Ratnam, the anthology sets out to map queer experience across a vast, multilingual country, bringing together journalism, memoir, criticism, poetry, visual work and personal testimony.</w:t>
      </w:r>
      <w:r/>
    </w:p>
    <w:p>
      <w:r/>
      <w:r>
        <w:t>That breadth is appealing. As Urania Institute's book listing indicates, the volume is positioned as a contemporary account of queer life in India, while publishing details place it at 272 pages and price it at Rs. 599. But a map can still leave out the roads that matter most. The central criticism is that the collection gathers many voices without always explaining the structures shaping them.</w:t>
      </w:r>
      <w:r/>
    </w:p>
    <w:p>
      <w:r/>
      <w:r>
        <w:t>This makes the book less a tidy portrait than a point of argument. It asks readers to consider whether visibility alone is enough, particularly when representation is curated by cultural institutions and publishers. (Sources: Urania Institute; Google Books.)</w:t>
      </w:r>
      <w:r/>
    </w:p>
    <w:p>
      <w:pPr>
        <w:pStyle w:val="Heading2"/>
      </w:pPr>
      <w:r>
        <w:t>Why the anthology's corporate setting matters</w:t>
      </w:r>
      <w:r/>
    </w:p>
    <w:p>
      <w:r/>
      <w:r>
        <w:t>The book's institutional background sits at the heart of the review. The project links a corporate culture initiative with a major publisher, a partnership that raises questions about who selects contributors, which forms of identity become legible and how political disagreement is managed.</w:t>
      </w:r>
      <w:r/>
    </w:p>
    <w:p>
      <w:r/>
      <w:r>
        <w:t>The criticism is not that corporate backing automatically invalidates queer writing. Funding can make space for stories that might otherwise remain unpublished, and commercially available books can reach readers well beyond activist circles. The concern is subtler: a diversity-led model may celebrate difference without challenging the systems that produce inequality.</w:t>
      </w:r>
      <w:r/>
    </w:p>
    <w:p>
      <w:r/>
      <w:r>
        <w:t>That tension runs through much contemporary publishing. A book can look impressively inclusive while still favouring polished, urban and English-language forms of self-description. For readers, the useful question is not simply how many communities appear in the contents page, but whether their social worlds are explored with texture and contradiction. (Sources: Frontline; Platekompaniet.)</w:t>
      </w:r>
      <w:r/>
    </w:p>
    <w:p>
      <w:pPr>
        <w:pStyle w:val="Heading2"/>
      </w:pPr>
      <w:r>
        <w:t>India is not one queer experience</w:t>
      </w:r>
      <w:r/>
    </w:p>
    <w:p>
      <w:r/>
      <w:r>
        <w:t>One of the anthology's attractions is its geographical range. Accounts connected to cities, smaller towns and different regions suggest a country where queer life is shaped by language, caste, religion, disability, class, family and local custom.</w:t>
      </w:r>
      <w:r/>
    </w:p>
    <w:p>
      <w:r/>
      <w:r>
        <w:t>Yet the review argues that the book too often treats those differences through a vocabulary imported from American identity politics. Terms such as diversity, equity and inclusion may be familiar in corporate and academic settings, but they don't automatically translate the particular histories of Indian communities. A label can travel quickly; context takes longer.</w:t>
      </w:r>
      <w:r/>
    </w:p>
    <w:p>
      <w:r/>
      <w:r>
        <w:t>That matters especially for readers searching for a grounded account of queer India today. Local identities such as hijra, thirunangai and aravani carry histories that cannot simply be folded into a broad international category of transness without discussion. When those distinctions disappear, inclusion can begin to look rather like standardisation. (Sources: Frontline; Scroll.in.)</w:t>
      </w:r>
      <w:r/>
    </w:p>
    <w:p>
      <w:pPr>
        <w:pStyle w:val="Heading2"/>
      </w:pPr>
      <w:r>
        <w:t>Legal progress has not ended everyday danger</w:t>
      </w:r>
      <w:r/>
    </w:p>
    <w:p>
      <w:r/>
      <w:r>
        <w:t>The anthology also sits within a familiar story of legal progress. The reading down of part of Section 377 was a landmark moment, but it didn't resolve discrimination, violence, insecure housing, medical exclusion or family pressure. Nor did it make privacy equally available to everyone.</w:t>
      </w:r>
      <w:r/>
    </w:p>
    <w:p>
      <w:r/>
      <w:r>
        <w:t>That gap between formal rights and lived safety is one of the collection's most important possible subjects. Personal testimony can show what legal language often hides: the fear of disclosure, the risks of seeking healthcare and the exhausting negotiations that surround work, home and public space.</w:t>
      </w:r>
      <w:r/>
    </w:p>
    <w:p>
      <w:r/>
      <w:r>
        <w:t>The review's frustration is that the law is sometimes treated as the main route to liberation, even when contributors' own experiences point towards deeper social problems. For anyone comparing books about LGBTQIA+ life in India, this is a useful test: does the writing connect individual stories to institutions, or does it leave them floating as inspirational exceptions? (Sources: Frontline; PMC.)</w:t>
      </w:r>
      <w:r/>
    </w:p>
    <w:p>
      <w:pPr>
        <w:pStyle w:val="Heading2"/>
      </w:pPr>
      <w:r>
        <w:t>Where the personal stories fall short</w:t>
      </w:r>
      <w:r/>
    </w:p>
    <w:p>
      <w:r/>
      <w:r>
        <w:t>Memoir is powerful precisely because it brings political questions down to human scale. A story about disability and transness, a recollection of an older queer scene or an account of medical work can make abstract debates feel immediate. The strongest passages in an anthology like this are often the ones that leave readers with a person, a place and a dilemma they won't quickly forget.</w:t>
      </w:r>
      <w:r/>
    </w:p>
    <w:p>
      <w:r/>
      <w:r>
        <w:t>But the review argues that several pieces remain on the surface, presenting achievement, suffering or resilience without fully examining uncertainty and inner conflict. That can produce a familiar emotional pattern, moving from hardship to triumph without pausing over compromise, anger, desire or complicity.</w:t>
      </w:r>
      <w:r/>
    </w:p>
    <w:p>
      <w:r/>
      <w:r>
        <w:t>It also raises concerns about balance. Contributions on gay masculinity, trans visibility and queer culture apparently gesture towards rich questions but do not always develop them. Meanwhile, accounts of Mumbai's pre-legalisation queer scene offer a reminder that history is not only a timeline of court rulings. It is also made of parties, friendships, coded language and the quiet ingenuity of people building lives before institutions were ready to acknowledge them. (Sources: Frontline; Mid-Day.)</w:t>
      </w:r>
      <w:r/>
    </w:p>
    <w:p>
      <w:pPr>
        <w:pStyle w:val="Heading2"/>
      </w:pPr>
      <w:r>
        <w:t>What readers should expect from Queer India Now</w:t>
      </w:r>
      <w:r/>
    </w:p>
    <w:p>
      <w:r/>
      <w:r>
        <w:t>This is unlikely to be the definitive account of queer India, and it may be better approached as a contested snapshot. Readers will find a substantial collection with a wide cast of contributors, but they should expect unevenness in genre, depth and political analysis.</w:t>
      </w:r>
      <w:r/>
    </w:p>
    <w:p>
      <w:r/>
      <w:r>
        <w:t>For newcomers, the anthology could provide a starting point for discovering writers, regions and debates that deserve further reading. More experienced readers may find themselves asking harder questions about caste, indigenous gender systems, class power, sexuality, desire and the limits of corporate inclusion. That friction is valuable, even when the book doesn't resolve it.</w:t>
      </w:r>
      <w:r/>
    </w:p>
    <w:p>
      <w:r/>
      <w:r>
        <w:t xml:space="preserve">Ultimately, the most revealing response to </w:t>
      </w:r>
      <w:r>
        <w:rPr>
          <w:i/>
        </w:rPr>
        <w:t>Queer India Now</w:t>
      </w:r>
      <w:r>
        <w:t xml:space="preserve"> may be the conversation around it. A country this diverse cannot be contained by one framework, however progressive its language sounds. The best future collections will not just add more voices; they'll give those voices room to disagree, complicate one another and speak in their own terms.</w:t>
      </w:r>
      <w:r/>
    </w:p>
    <w:p>
      <w:r/>
      <w:r>
        <w:t>A wider conversation is welcome, but genuine inclusion needs more than a crowded contents page.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9">
        <w:r>
          <w:rPr>
            <w:color w:val="0000EE"/>
            <w:u w:val="single"/>
          </w:rPr>
          <w:t>[1]</w:t>
        </w:r>
      </w:hyperlink>
      <w:r>
        <w:t xml:space="preserve">, </w:t>
      </w:r>
      <w:hyperlink r:id="rId12">
        <w:r>
          <w:rPr>
            <w:color w:val="0000EE"/>
            <w:u w:val="single"/>
          </w:rPr>
          <w:t>[7]</w:t>
        </w:r>
      </w:hyperlink>
      <w:r>
        <w:t xml:space="preserve">- Paragraph 3: </w:t>
      </w:r>
      <w:hyperlink r:id="rId9">
        <w:r>
          <w:rPr>
            <w:color w:val="0000EE"/>
            <w:u w:val="single"/>
          </w:rPr>
          <w:t>[1]</w:t>
        </w:r>
      </w:hyperlink>
      <w:r>
        <w:t xml:space="preserve">, </w:t>
      </w:r>
      <w:hyperlink r:id="rId13">
        <w:r>
          <w:rPr>
            <w:color w:val="0000EE"/>
            <w:u w:val="single"/>
          </w:rPr>
          <w:t>[3]</w:t>
        </w:r>
      </w:hyperlink>
      <w:r>
        <w:t xml:space="preserve">- Paragraph 4: </w:t>
      </w:r>
      <w:hyperlink r:id="rId9">
        <w:r>
          <w:rPr>
            <w:color w:val="0000EE"/>
            <w:u w:val="single"/>
          </w:rPr>
          <w:t>[1]</w:t>
        </w:r>
      </w:hyperlink>
      <w:r>
        <w:t xml:space="preserve">, </w:t>
      </w:r>
      <w:hyperlink r:id="rId14">
        <w:r>
          <w:rPr>
            <w:color w:val="0000EE"/>
            <w:u w:val="single"/>
          </w:rPr>
          <w:t>[4]</w:t>
        </w:r>
      </w:hyperlink>
      <w:r>
        <w:t xml:space="preserve">- Paragraph 5: </w:t>
      </w:r>
      <w:hyperlink r:id="rId9">
        <w:r>
          <w:rPr>
            <w:color w:val="0000EE"/>
            <w:u w:val="single"/>
          </w:rPr>
          <w:t>[1]</w:t>
        </w:r>
      </w:hyperlink>
      <w:r>
        <w:t xml:space="preserve">, </w:t>
      </w:r>
      <w:hyperlink r:id="rId13">
        <w:r>
          <w:rPr>
            <w:color w:val="0000EE"/>
            <w:u w:val="single"/>
          </w:rPr>
          <w:t>[3]</w:t>
        </w:r>
      </w:hyperlink>
      <w:r>
        <w:t xml:space="preserve">- Paragraph 6: </w:t>
      </w:r>
      <w:hyperlink r:id="rId9">
        <w:r>
          <w:rPr>
            <w:color w:val="0000EE"/>
            <w:u w:val="single"/>
          </w:rPr>
          <w:t>[1]</w:t>
        </w:r>
      </w:hyperlink>
      <w:r>
        <w:t xml:space="preserve">, </w:t>
      </w:r>
      <w:hyperlink r:id="rId11">
        <w:r>
          <w:rPr>
            <w:color w:val="0000EE"/>
            <w:u w:val="single"/>
          </w:rPr>
          <w:t>[5]</w:t>
        </w:r>
      </w:hyperlink>
      <w:r>
        <w:t xml:space="preserve">- Paragraph 7: </w:t>
      </w:r>
      <w:hyperlink r:id="rId9">
        <w:r>
          <w:rPr>
            <w:color w:val="0000EE"/>
            <w:u w:val="single"/>
          </w:rPr>
          <w:t>[1]</w:t>
        </w:r>
      </w:hyperlink>
      <w:r>
        <w:t xml:space="preserve">, </w:t>
      </w:r>
      <w:hyperlink r:id="rId15">
        <w:r>
          <w:rPr>
            <w:color w:val="0000EE"/>
            <w:u w:val="single"/>
          </w:rPr>
          <w:t>[6]</w:t>
        </w:r>
      </w:hyperlink>
      <w:r>
        <w:t xml:space="preserve">- Paragraph 8: </w:t>
      </w:r>
      <w:hyperlink r:id="rId9">
        <w:r>
          <w:rPr>
            <w:color w:val="0000EE"/>
            <w:u w:val="single"/>
          </w:rPr>
          <w:t>[1]</w:t>
        </w:r>
      </w:hyperlink>
      <w:r>
        <w:t xml:space="preserve">, </w:t>
      </w:r>
      <w:hyperlink r:id="rId15">
        <w:r>
          <w:rPr>
            <w:color w:val="0000EE"/>
            <w:u w:val="single"/>
          </w:rPr>
          <w:t>[6]</w:t>
        </w:r>
      </w:hyperlink>
      <w:r>
        <w:t xml:space="preserve">- Paragraph 9: </w:t>
      </w:r>
      <w:hyperlink r:id="rId9">
        <w:r>
          <w:rPr>
            <w:color w:val="0000EE"/>
            <w:u w:val="single"/>
          </w:rPr>
          <w:t>[1]</w:t>
        </w:r>
      </w:hyperlink>
      <w:r>
        <w:t xml:space="preserve">, </w:t>
      </w:r>
      <w:hyperlink r:id="rId14">
        <w:r>
          <w:rPr>
            <w:color w:val="0000EE"/>
            <w:u w:val="single"/>
          </w:rPr>
          <w:t>[4]</w:t>
        </w:r>
      </w:hyperlink>
      <w:r>
        <w:t xml:space="preserve">- Paragraph 10: </w:t>
      </w:r>
      <w:hyperlink r:id="rId9">
        <w:r>
          <w:rPr>
            <w:color w:val="0000EE"/>
            <w:u w:val="single"/>
          </w:rPr>
          <w:t>[1]</w:t>
        </w:r>
      </w:hyperlink>
      <w:r>
        <w:t xml:space="preserve">, </w:t>
      </w:r>
      <w:hyperlink r:id="rId12">
        <w:r>
          <w:rPr>
            <w:color w:val="0000EE"/>
            <w:u w:val="single"/>
          </w:rPr>
          <w:t>[7]</w:t>
        </w:r>
      </w:hyperlink>
      <w:r>
        <w:t xml:space="preserve">- Paragraph 11: </w:t>
      </w:r>
      <w:hyperlink r:id="rId9">
        <w:r>
          <w:rPr>
            <w:color w:val="0000EE"/>
            <w:u w:val="single"/>
          </w:rPr>
          <w:t>[1]</w:t>
        </w:r>
      </w:hyperlink>
      <w:r>
        <w:t xml:space="preserve">, </w:t>
      </w:r>
      <w:hyperlink r:id="rId13">
        <w:r>
          <w:rPr>
            <w:color w:val="0000EE"/>
            <w:u w:val="single"/>
          </w:rPr>
          <w:t>[3]</w:t>
        </w:r>
      </w:hyperlink>
      <w:r>
        <w:t xml:space="preserve">- Paragraph 12: </w:t>
      </w:r>
      <w:hyperlink r:id="rId9">
        <w:r>
          <w:rPr>
            <w:color w:val="0000EE"/>
            <w:u w:val="single"/>
          </w:rPr>
          <w:t>[1]</w:t>
        </w:r>
      </w:hyperlink>
      <w:r>
        <w:t xml:space="preserve">, </w:t>
      </w:r>
      <w:hyperlink r:id="rId14">
        <w:r>
          <w:rPr>
            <w:color w:val="0000EE"/>
            <w:u w:val="single"/>
          </w:rPr>
          <w:t>[4]</w:t>
        </w:r>
      </w:hyperlink>
      <w:r>
        <w:t xml:space="preserve">- Paragraph 13: </w:t>
      </w:r>
      <w:hyperlink r:id="rId9">
        <w:r>
          <w:rPr>
            <w:color w:val="0000EE"/>
            <w:u w:val="single"/>
          </w:rPr>
          <w:t>[1]</w:t>
        </w:r>
      </w:hyperlink>
      <w:r>
        <w:t xml:space="preserve">, </w:t>
      </w:r>
      <w:hyperlink r:id="rId11">
        <w:r>
          <w:rPr>
            <w:color w:val="0000EE"/>
            <w:u w:val="single"/>
          </w:rPr>
          <w:t>[5]</w:t>
        </w:r>
      </w:hyperlink>
      <w:r>
        <w:t xml:space="preserve">- Paragraph 14: </w:t>
      </w:r>
      <w:hyperlink r:id="rId9">
        <w:r>
          <w:rPr>
            <w:color w:val="0000EE"/>
            <w:u w:val="single"/>
          </w:rPr>
          <w:t>[1]</w:t>
        </w:r>
      </w:hyperlink>
      <w:r>
        <w:t xml:space="preserve">, </w:t>
      </w:r>
      <w:hyperlink r:id="rId10">
        <w:r>
          <w:rPr>
            <w:color w:val="0000EE"/>
            <w:u w:val="single"/>
          </w:rPr>
          <w:t>[2]</w:t>
        </w:r>
      </w:hyperlink>
      <w:r>
        <w:t xml:space="preserve">- Paragraph 15: </w:t>
      </w:r>
      <w:hyperlink r:id="rId9">
        <w:r>
          <w:rPr>
            <w:color w:val="0000EE"/>
            <w:u w:val="single"/>
          </w:rPr>
          <w:t>[1]</w:t>
        </w:r>
      </w:hyperlink>
      <w:r>
        <w:t xml:space="preserve">, </w:t>
      </w:r>
      <w:hyperlink r:id="rId13">
        <w:r>
          <w:rPr>
            <w:color w:val="0000EE"/>
            <w:u w:val="single"/>
          </w:rPr>
          <w:t>[3]</w:t>
        </w:r>
      </w:hyperlink>
      <w:r>
        <w:t xml:space="preserve">- Paragraph 16: </w:t>
      </w:r>
      <w:hyperlink r:id="rId9">
        <w:r>
          <w:rPr>
            <w:color w:val="0000EE"/>
            <w:u w:val="single"/>
          </w:rPr>
          <w:t>[1]</w:t>
        </w:r>
      </w:hyperlink>
      <w:r>
        <w:t xml:space="preserve">, </w:t>
      </w:r>
      <w:hyperlink r:id="rId14">
        <w:r>
          <w:rPr>
            <w:color w:val="0000EE"/>
            <w:u w:val="single"/>
          </w:rPr>
          <w:t>[4]</w:t>
        </w:r>
      </w:hyperlink>
      <w:r>
        <w:t xml:space="preserve">- Paragraph 17: </w:t>
      </w:r>
      <w:hyperlink r:id="rId9">
        <w:r>
          <w:rPr>
            <w:color w:val="0000EE"/>
            <w:u w:val="single"/>
          </w:rPr>
          <w:t>[1]</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https://frontline.thehindu.com/books/culture-lab-corporate-cooptation-queer-india-now-review/article71494939.ece</w:t>
        </w:r>
      </w:hyperlink>
      <w:r>
        <w:t xml:space="preserve"> - Please view link - unable to able to access data</w:t>
      </w:r>
      <w:r/>
    </w:p>
    <w:p>
      <w:pPr>
        <w:pStyle w:val="ListNumber"/>
        <w:spacing w:line="240" w:lineRule="auto"/>
        <w:ind w:left="720"/>
      </w:pPr>
      <w:r/>
      <w:hyperlink r:id="rId10">
        <w:r>
          <w:rPr>
            <w:color w:val="0000EE"/>
            <w:u w:val="single"/>
          </w:rPr>
          <w:t>https://urania.institute/en/book-news/2026/queer-india-now-ratnam-jyoti/</w:t>
        </w:r>
      </w:hyperlink>
      <w:r>
        <w:t xml:space="preserve"> - This article discusses the anthology 'Queer India Now', edited by Dhamini Ratnam and Dhrubo Jyoti, which explores the intersection of queer identity, caste, and colonial legacy in contemporary India. The book argues that the history of casteism and racism is closely tied to the entrenchment of homophobia in Indian society. It highlights how colonial legislation, such as Section 377 and the Criminal Tribes Act, entrenched the dehumanization of marginalized groups. The publication aims to reflect the contemporary struggle of LGBT Indians for dignity in a society that remains largely legally restrictive and socially intolerant. (</w:t>
      </w:r>
      <w:hyperlink r:id="rId16">
        <w:r>
          <w:rPr>
            <w:color w:val="0000EE"/>
            <w:u w:val="single"/>
          </w:rPr>
          <w:t>urania.institute</w:t>
        </w:r>
      </w:hyperlink>
      <w:r>
        <w:t>)</w:t>
      </w:r>
      <w:r/>
    </w:p>
    <w:p>
      <w:pPr>
        <w:pStyle w:val="ListNumber"/>
        <w:spacing w:line="240" w:lineRule="auto"/>
        <w:ind w:left="720"/>
      </w:pPr>
      <w:r/>
      <w:hyperlink r:id="rId13">
        <w:r>
          <w:rPr>
            <w:color w:val="0000EE"/>
            <w:u w:val="single"/>
          </w:rPr>
          <w:t>https://scroll.in/article/1094471/scroll_in</w:t>
        </w:r>
      </w:hyperlink>
      <w:r>
        <w:t xml:space="preserve"> - This review of 'Queer India Now' acknowledges the diverse and relentless work of queer communities. The anthology, edited by Dhrubo Jyoti and Dhamini Ratnam, places itself in a long legacy of queer writing in India while revealing the material stakes of living a queer life. The pieces in the book powerfully address the violence of caste and the challenges faced by queer individuals in contemporary India. (</w:t>
      </w:r>
      <w:hyperlink r:id="rId17">
        <w:r>
          <w:rPr>
            <w:color w:val="0000EE"/>
            <w:u w:val="single"/>
          </w:rPr>
          <w:t>scroll.in</w:t>
        </w:r>
      </w:hyperlink>
      <w:r>
        <w:t>)</w:t>
      </w:r>
      <w:r/>
    </w:p>
    <w:p>
      <w:pPr>
        <w:pStyle w:val="ListNumber"/>
        <w:spacing w:line="240" w:lineRule="auto"/>
        <w:ind w:left="720"/>
      </w:pPr>
      <w:r/>
      <w:hyperlink r:id="rId14">
        <w:r>
          <w:rPr>
            <w:color w:val="0000EE"/>
            <w:u w:val="single"/>
          </w:rPr>
          <w:t>https://mid-day.http.akamai-trials.com/sunday-mid-day/article/pride-month-2026-new-anthology-queer-india-now-dives-into-mumbais-lgbtqia-community-and-their-parties-before-section-377-was-read-down-23632930</w:t>
        </w:r>
      </w:hyperlink>
      <w:r>
        <w:t xml:space="preserve"> - This article discusses the anthology 'Queer India Now', which delves into Mumbai's LGBTQIA+ community and their parties before Section 377 was read down. The piece highlights how early gay parties in Mumbai were marked by discretion and internalized transphobia, with house rules that disallowed drag to maintain discretion and avoid exposure. (</w:t>
      </w:r>
      <w:hyperlink r:id="rId18">
        <w:r>
          <w:rPr>
            <w:color w:val="0000EE"/>
            <w:u w:val="single"/>
          </w:rPr>
          <w:t>mid-day.http.akamai-trials.com</w:t>
        </w:r>
      </w:hyperlink>
      <w:r>
        <w:t>)</w:t>
      </w:r>
      <w:r/>
    </w:p>
    <w:p>
      <w:pPr>
        <w:pStyle w:val="ListNumber"/>
        <w:spacing w:line="240" w:lineRule="auto"/>
        <w:ind w:left="720"/>
      </w:pPr>
      <w:r/>
      <w:hyperlink r:id="rId11">
        <w:r>
          <w:rPr>
            <w:color w:val="0000EE"/>
            <w:u w:val="single"/>
          </w:rPr>
          <w:t>https://www.platekompaniet.no/bok/historie-og-samfunn/samfunn-og-samfunnsvitenskap/samfunn-og-kultur/sosiale-grupper-samfunn-og-sosial-identitet/kjonnsstudier-og-kjonnsgrupper/transpersoner-og-kjonnsinkongruens/jyoti-dhrubo-queer-india-now-bok-pocket</w:t>
        </w:r>
      </w:hyperlink>
      <w:r>
        <w:t xml:space="preserve"> - This page provides information about the book 'Queer India Now' by Dhrubo Jyoti, published by Queer Directions. The anthology examines what it means to live as a queer person in a society that remains legally restrictive and socially unaccommodating. It includes essays, testimonies, and reflections from queer lawyers, trans doctors, police officers, and artists, documenting questions of identity, caste, dignity, money, and visibility in India. (</w:t>
      </w:r>
      <w:hyperlink r:id="rId19">
        <w:r>
          <w:rPr>
            <w:color w:val="0000EE"/>
            <w:u w:val="single"/>
          </w:rPr>
          <w:t>platekompaniet.no</w:t>
        </w:r>
      </w:hyperlink>
      <w:r>
        <w:t>)</w:t>
      </w:r>
      <w:r/>
    </w:p>
    <w:p>
      <w:pPr>
        <w:pStyle w:val="ListNumber"/>
        <w:spacing w:line="240" w:lineRule="auto"/>
        <w:ind w:left="720"/>
      </w:pPr>
      <w:r/>
      <w:hyperlink r:id="rId15">
        <w:r>
          <w:rPr>
            <w:color w:val="0000EE"/>
            <w:u w:val="single"/>
          </w:rPr>
          <w:t>https://pmc.ncbi.nlm.nih.gov/articles/PMC2018684/</w:t>
        </w:r>
      </w:hyperlink>
      <w:r>
        <w:t xml:space="preserve"> - This article examines the process of queer mobilization in India in relation to the emergence of the HIV/AIDS epidemic and forces of neoliberal globalization. It explores how queerness has become global and how emerging economies in the global South, like India, are experiencing queer mobilization and sexual identity politics. The paper discusses the impact of economic globalization on the export of Western notions of LGBT identity to traditional societies and the destruction of indigenous sexual cultures and diversities. (</w:t>
      </w:r>
      <w:hyperlink r:id="rId20">
        <w:r>
          <w:rPr>
            <w:color w:val="0000EE"/>
            <w:u w:val="single"/>
          </w:rPr>
          <w:t>pmc.ncbi.nlm.nih.gov</w:t>
        </w:r>
      </w:hyperlink>
      <w:r>
        <w:t>)</w:t>
      </w:r>
      <w:r/>
    </w:p>
    <w:p>
      <w:pPr>
        <w:pStyle w:val="ListNumber"/>
        <w:spacing w:line="240" w:lineRule="auto"/>
        <w:ind w:left="720"/>
      </w:pPr>
      <w:r/>
      <w:hyperlink r:id="rId12">
        <w:r>
          <w:rPr>
            <w:color w:val="0000EE"/>
            <w:u w:val="single"/>
          </w:rPr>
          <w:t>https://books.google.com/books/about/Queer_India_Now.html?id=xQwO0gEACAAJ</w:t>
        </w:r>
      </w:hyperlink>
      <w:r>
        <w:t xml:space="preserve"> - This Google Books page provides information about 'Queer India Now', edited by Dhrubo Jyoti. The anthology examines what it means to live as a queer person in a society that remains legally restrictive and socially unaccommodating. It includes essays, testimonies, and reflections from queer lawyers, trans doctors, police officers, and artists, documenting questions of identity, caste, dignity, money, and visibility in India. (</w:t>
      </w:r>
      <w:hyperlink r:id="rId21">
        <w:r>
          <w:rPr>
            <w:color w:val="0000EE"/>
            <w:u w:val="single"/>
          </w:rPr>
          <w:t>books.google.com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rontline.thehindu.com/books/culture-lab-corporate-cooptation-queer-india-now-review/article71494939.ece" TargetMode="External"/><Relationship Id="rId10" Type="http://schemas.openxmlformats.org/officeDocument/2006/relationships/hyperlink" Target="https://urania.institute/en/book-news/2026/queer-india-now-ratnam-jyoti/" TargetMode="External"/><Relationship Id="rId11" Type="http://schemas.openxmlformats.org/officeDocument/2006/relationships/hyperlink" Target="https://www.platekompaniet.no/bok/historie-og-samfunn/samfunn-og-samfunnsvitenskap/samfunn-og-kultur/sosiale-grupper-samfunn-og-sosial-identitet/kjonnsstudier-og-kjonnsgrupper/transpersoner-og-kjonnsinkongruens/jyoti-dhrubo-queer-india-now-bok-pocket" TargetMode="External"/><Relationship Id="rId12" Type="http://schemas.openxmlformats.org/officeDocument/2006/relationships/hyperlink" Target="https://books.google.com/books/about/Queer_India_Now.html?id=xQwO0gEACAAJ" TargetMode="External"/><Relationship Id="rId13" Type="http://schemas.openxmlformats.org/officeDocument/2006/relationships/hyperlink" Target="https://scroll.in/article/1094471/scroll_in" TargetMode="External"/><Relationship Id="rId14" Type="http://schemas.openxmlformats.org/officeDocument/2006/relationships/hyperlink" Target="https://mid-day.http.akamai-trials.com/sunday-mid-day/article/pride-month-2026-new-anthology-queer-india-now-dives-into-mumbais-lgbtqia-community-and-their-parties-before-section-377-was-read-down-23632930" TargetMode="External"/><Relationship Id="rId15" Type="http://schemas.openxmlformats.org/officeDocument/2006/relationships/hyperlink" Target="https://pmc.ncbi.nlm.nih.gov/articles/PMC2018684/" TargetMode="External"/><Relationship Id="rId16" Type="http://schemas.openxmlformats.org/officeDocument/2006/relationships/hyperlink" Target="https://urania.institute/en/book-news/2026/queer-india-now-ratnam-jyoti/?utm_source=openai" TargetMode="External"/><Relationship Id="rId17" Type="http://schemas.openxmlformats.org/officeDocument/2006/relationships/hyperlink" Target="https://scroll.in/article/1094471/scroll_in?utm_source=openai" TargetMode="External"/><Relationship Id="rId18" Type="http://schemas.openxmlformats.org/officeDocument/2006/relationships/hyperlink" Target="https://mid-day.http.akamai-trials.com/sunday-mid-day/article/pride-month-2026-new-anthology-queer-india-now-dives-into-mumbais-lgbtqia-community-and-their-parties-before-section-377-was-read-down-23632930?utm_source=openai" TargetMode="External"/><Relationship Id="rId19" Type="http://schemas.openxmlformats.org/officeDocument/2006/relationships/hyperlink" Target="https://www.platekompaniet.no/bok/historie-og-samfunn/samfunn-og-samfunnsvitenskap/samfunn-og-kultur/sosiale-grupper-samfunn-og-sosial-identitet/kjonnsstudier-og-kjonnsgrupper/transpersoner-og-kjonnsinkongruens/jyoti-dhrubo-queer-india-now-bok-pocket?utm_source=openai" TargetMode="External"/><Relationship Id="rId20" Type="http://schemas.openxmlformats.org/officeDocument/2006/relationships/hyperlink" Target="https://pmc.ncbi.nlm.nih.gov/articles/PMC2018684/?utm_source=openai" TargetMode="External"/><Relationship Id="rId21" Type="http://schemas.openxmlformats.org/officeDocument/2006/relationships/hyperlink" Target="https://books.google.com/books/about/Queer_India_Now.html?id=xQwO0gEACAAJ&am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