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2026 Midterms Matter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heading towards a pivotal 2026 midterm election, with LGBTQ+ rights, transgender healthcare and school sports policies all in the spotlight. Recent court rulings and federal actions have narrowed protections in some areas, making the vote especially significant for trans people, families and providers across the United States.</w:t>
      </w:r>
      <w:r/>
    </w:p>
    <w:p>
      <w:pPr>
        <w:pStyle w:val="Heading2"/>
      </w:pPr>
      <w:r>
        <w:t>Essential Takeaways</w:t>
      </w:r>
      <w:r/>
      <w:r/>
    </w:p>
    <w:p>
      <w:pPr>
        <w:pStyle w:val="ListBullet"/>
        <w:spacing w:line="240" w:lineRule="auto"/>
        <w:ind w:left="720"/>
      </w:pPr>
      <w:r/>
      <w:r>
        <w:rPr>
          <w:b/>
        </w:rPr>
        <w:t>Healthcare access is under pressure:</w:t>
      </w:r>
      <w:r>
        <w:t xml:space="preserve"> Federal funding rules could limit public coverage for gender-affirming care for minors.</w:t>
      </w:r>
      <w:r/>
    </w:p>
    <w:p>
      <w:pPr>
        <w:pStyle w:val="ListBullet"/>
        <w:spacing w:line="240" w:lineRule="auto"/>
        <w:ind w:left="720"/>
      </w:pPr>
      <w:r/>
      <w:r>
        <w:rPr>
          <w:b/>
        </w:rPr>
        <w:t>The courts have shifted the landscape:</w:t>
      </w:r>
      <w:r>
        <w:t xml:space="preserve"> The Supreme Court upheld Tennessee restrictions on certain treatments for transgender adolescents.</w:t>
      </w:r>
      <w:r/>
    </w:p>
    <w:p>
      <w:pPr>
        <w:pStyle w:val="ListBullet"/>
        <w:spacing w:line="240" w:lineRule="auto"/>
        <w:ind w:left="720"/>
      </w:pPr>
      <w:r/>
      <w:r>
        <w:rPr>
          <w:b/>
        </w:rPr>
        <w:t>School sport rules remain contested:</w:t>
      </w:r>
      <w:r>
        <w:t xml:space="preserve"> States can restrict transgender girls' participation on some school teams.</w:t>
      </w:r>
      <w:r/>
    </w:p>
    <w:p>
      <w:pPr>
        <w:pStyle w:val="ListBullet"/>
        <w:spacing w:line="240" w:lineRule="auto"/>
        <w:ind w:left="720"/>
      </w:pPr>
      <w:r/>
      <w:r>
        <w:rPr>
          <w:b/>
        </w:rPr>
        <w:t>Congress could change direction:</w:t>
      </w:r>
      <w:r>
        <w:t xml:space="preserve"> The midterms may determine whether lawmakers expand, preserve or challenge current policies.</w:t>
      </w:r>
      <w:r/>
    </w:p>
    <w:p>
      <w:pPr>
        <w:pStyle w:val="ListBullet"/>
        <w:spacing w:line="240" w:lineRule="auto"/>
        <w:ind w:left="720"/>
      </w:pPr>
      <w:r/>
      <w:r>
        <w:rPr>
          <w:b/>
        </w:rPr>
        <w:t>The human cost is immediate:</w:t>
      </w:r>
      <w:r>
        <w:t xml:space="preserve"> Advocates report growing anxiety, isolation and uncertainty among trans Americans.</w:t>
      </w:r>
      <w:r/>
      <w:r/>
    </w:p>
    <w:p>
      <w:pPr>
        <w:pStyle w:val="Heading2"/>
      </w:pPr>
      <w:r>
        <w:t>The midterms could reshape LGBTQ+ policy</w:t>
      </w:r>
      <w:r/>
    </w:p>
    <w:p>
      <w:r/>
      <w:r>
        <w:t>For many transgender Americans, this isn't a distant Washington argument. It affects medical appointments, school routines and the basic calculation of whether a public space feels safe. That emotional weight is hard to miss, especially as policy announcements arrive alongside increasingly heated political rhetoric.</w:t>
      </w:r>
      <w:r/>
    </w:p>
    <w:p>
      <w:r/>
      <w:r>
        <w:t xml:space="preserve">The 2026 midterms could decide which party controls Congress, setting the tone for legislation, oversight and funding decisions. A different balance of power wouldn't instantly reverse court rulings, but it could alter how aggressively federal agencies pursue restrictions and how lawmakers respond. The Supreme Court's decision in United States v. Skrmetti provides an important part of that backdrop, as the court upheld Tennessee's limits on specified gender-affirming treatments for minors, according to the court's published opinion and Cornell Law School's case record. </w:t>
      </w:r>
      <w:hyperlink r:id="rId9">
        <w:r>
          <w:rPr>
            <w:color w:val="0000EE"/>
            <w:u w:val="single"/>
          </w:rPr>
          <w:t>[2]</w:t>
        </w:r>
      </w:hyperlink>
      <w:r>
        <w:t xml:space="preserve">, </w:t>
      </w:r>
      <w:hyperlink r:id="rId10">
        <w:r>
          <w:rPr>
            <w:color w:val="0000EE"/>
            <w:u w:val="single"/>
          </w:rPr>
          <w:t>[3]</w:t>
        </w:r>
      </w:hyperlink>
      <w:r/>
    </w:p>
    <w:p>
      <w:pPr>
        <w:pStyle w:val="Heading2"/>
      </w:pPr>
      <w:r>
        <w:t>Healthcare access is becoming a political fault line</w:t>
      </w:r>
      <w:r/>
    </w:p>
    <w:p>
      <w:r/>
      <w:r>
        <w:t>The federal government has moved to restrict public funding for gender-affirming care for minors through Medicare, Medicaid and the Children's Health Insurance Programme. For families already navigating specialist appointments, waiting lists and paperwork, changes to funding can feel less like a technical adjustment and more like a locked door.</w:t>
      </w:r>
      <w:r/>
    </w:p>
    <w:p>
      <w:r/>
      <w:r>
        <w:t>The scrutiny doesn't stop at reimbursement. Investigations into hospitals and clinics over alleged billing practices may make providers more cautious, even where treatment remains lawful. That matters because healthcare systems tend to respond to uncertainty conservatively, and a nervous administrator can translate a policy dispute into delayed care for a real patient.</w:t>
      </w:r>
      <w:r/>
    </w:p>
    <w:p>
      <w:r/>
      <w:r>
        <w:t xml:space="preserve">The court record in Skrmetti has become central to these arguments. Legal analysis from Cornell and Faegre Drinker notes that the ruling gave states greater room to regulate certain medical treatments for transgender minors, although the decision was tied to the specific legal challenge before the court. </w:t>
      </w:r>
      <w:hyperlink r:id="rId10">
        <w:r>
          <w:rPr>
            <w:color w:val="0000EE"/>
            <w:u w:val="single"/>
          </w:rPr>
          <w:t>[3]</w:t>
        </w:r>
      </w:hyperlink>
      <w:r>
        <w:t xml:space="preserve">, </w:t>
      </w:r>
      <w:hyperlink r:id="rId11">
        <w:r>
          <w:rPr>
            <w:color w:val="0000EE"/>
            <w:u w:val="single"/>
          </w:rPr>
          <w:t>[4]</w:t>
        </w:r>
      </w:hyperlink>
      <w:r/>
    </w:p>
    <w:p>
      <w:pPr>
        <w:pStyle w:val="Heading2"/>
      </w:pPr>
      <w:r>
        <w:t>School sport rules add another layer</w:t>
      </w:r>
      <w:r/>
    </w:p>
    <w:p>
      <w:r/>
      <w:r>
        <w:t>Transgender participation in school sports has become one of the most visible fronts in the wider debate. In its recent decision concerning West Virginia and Idaho, the Supreme Court allowed states to enforce restrictions affecting transgender girls and women in school athletics, giving policymakers more scope to set eligibility rules.</w:t>
      </w:r>
      <w:r/>
    </w:p>
    <w:p>
      <w:r/>
      <w:r>
        <w:t>The practical consequences vary by state, school district and sport. A teenager may encounter one set of rules at home and a very different one after moving, joining a regional league or attending a competition across state lines. That patchwork is confusing for families and difficult for schools trying to interpret fast-changing legal guidance.</w:t>
      </w:r>
      <w:r/>
    </w:p>
    <w:p>
      <w:r/>
      <w:r>
        <w:t xml:space="preserve">The legal reasoning and procedural history can be dense, but the outcome is straightforward enough for parents to understand: participation rules may now depend heavily on state law. The Skrmetti ruling has also reinforced the importance of reading the exact wording of each decision rather than relying on broad political summaries, as the Supreme Court opinion and specialist commentary make clear.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What should families and providers watch?</w:t>
      </w:r>
      <w:r/>
    </w:p>
    <w:p>
      <w:r/>
      <w:r>
        <w:t>The first practical step is to check current state guidance rather than assume a national rule applies everywhere. Families should ask schools, insurers and clinicians for written information, including whether a policy concerns eligibility, funding, referrals or the delivery of care itself.</w:t>
      </w:r>
      <w:r/>
    </w:p>
    <w:p>
      <w:r/>
      <w:r>
        <w:t>Providers, meanwhile, may need to distinguish between a treatment's legal status and whether a particular programme will pay for it. Those are not always the same thing. Keeping copies of notices, appeal rights and relevant medical records can help families navigate an unfamiliar process, although professional legal or clinical advice may be necessary for individual cases.</w:t>
      </w:r>
      <w:r/>
    </w:p>
    <w:p>
      <w:r/>
      <w:r>
        <w:t xml:space="preserve">It also pays to read the primary sources. The Supreme Court's published opinion, the Cornell case text and specialist legal analysis offer more reliable detail than short social media posts, particularly when a ruling is being discussed in campaign material.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Why the stakes extend beyond one election</w:t>
      </w:r>
      <w:r/>
    </w:p>
    <w:p>
      <w:r/>
      <w:r>
        <w:t>The midterms won't settle every dispute, but they could influence the direction of federal enforcement and the political appetite for new legislation. Congress may face pressure to protect access, codify restrictions, investigate agency action or leave states with even more control.</w:t>
      </w:r>
      <w:r/>
    </w:p>
    <w:p>
      <w:r/>
      <w:r>
        <w:t>For trans people and their families, that uncertainty carries a personal cost. Advocates describe heightened stress and isolation, while supporters of restrictions argue that states should have authority over healthcare and sport policy. The competing positions are stark, but the consequences are lived quietly: a cancelled appointment, a worried parent or a young person wondering whether they still belong on their team.</w:t>
      </w:r>
      <w:r/>
    </w:p>
    <w:p>
      <w:r/>
      <w:r>
        <w:t>That is why turnout, local races and state-level contests matter alongside the presidential conversation. The legal landscape will continue to evolve, but voters will help decide which voices shape the next phase.</w:t>
      </w:r>
      <w:r/>
    </w:p>
    <w:p>
      <w:r/>
      <w:r>
        <w:t>A single election won't resolve the debate, but it can change who gets to write the next rules.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https://meaws.com/news/2026-midterms-and-lgbtq-rights-what-s-at/105505</w:t>
        </w:r>
      </w:hyperlink>
      <w:r>
        <w:t xml:space="preserve"> - Please view link - unable to able to access data</w:t>
      </w:r>
      <w:r/>
    </w:p>
    <w:p>
      <w:pPr>
        <w:pStyle w:val="ListNumber"/>
        <w:spacing w:line="240" w:lineRule="auto"/>
        <w:ind w:left="720"/>
      </w:pPr>
      <w:r/>
      <w:hyperlink r:id="rId9">
        <w:r>
          <w:rPr>
            <w:color w:val="0000EE"/>
            <w:u w:val="single"/>
          </w:rPr>
          <w:t>https://www.supremecourt.gov/opinions/24pdf/23-477_1b8e.pdf</w:t>
        </w:r>
      </w:hyperlink>
      <w:r>
        <w:t xml:space="preserve"> - The Supreme Court's opinion in United States v. Skrmetti upheld Tennessee's Senate Bill 1, which prohibits healthcare providers from prescribing, administering, or dispensing puberty blockers or hormones to minors for gender transition purposes. The Court determined that the law does not violate the Equal Protection Clause of the Fourteenth Amendment, as it classifies based on age and medical use, subject to rational basis review. This decision reinforces states' authority to regulate medical treatments for transgender minors.</w:t>
      </w:r>
      <w:r/>
    </w:p>
    <w:p>
      <w:pPr>
        <w:pStyle w:val="ListNumber"/>
        <w:spacing w:line="240" w:lineRule="auto"/>
        <w:ind w:left="720"/>
      </w:pPr>
      <w:r/>
      <w:hyperlink r:id="rId10">
        <w:r>
          <w:rPr>
            <w:color w:val="0000EE"/>
            <w:u w:val="single"/>
          </w:rPr>
          <w:t>https://www.cornell.edu/supremecourt/text/23-477</w:t>
        </w:r>
      </w:hyperlink>
      <w:r>
        <w:t xml:space="preserve"> - Cornell Law School's Legal Information Institute provides a detailed analysis of the Supreme Court's decision in United States v. Skrmetti. The ruling upheld Tennessee's law banning certain medical treatments for transgender minors, stating that it does not constitute sex-based discrimination and satisfies rational basis review. The article discusses the implications of the decision on transgender rights and healthcare access for minors.</w:t>
      </w:r>
      <w:r/>
    </w:p>
    <w:p>
      <w:pPr>
        <w:pStyle w:val="ListNumber"/>
        <w:spacing w:line="240" w:lineRule="auto"/>
        <w:ind w:left="720"/>
      </w:pPr>
      <w:r/>
      <w:hyperlink r:id="rId11">
        <w:r>
          <w:rPr>
            <w:color w:val="0000EE"/>
            <w:u w:val="single"/>
          </w:rPr>
          <w:t>https://www.faegredrinker.com/en/insights/publications/2025/6/supreme-court-decides-united-states-v-skrmetti</w:t>
        </w:r>
      </w:hyperlink>
      <w:r>
        <w:t xml:space="preserve"> - Faegre Drinker Biddle &amp; Reath LLP's publication examines the Supreme Court's decision in United States v. Skrmetti, which upheld Tennessee's Senate Bill 1 restricting certain medical treatments for transgender minors. The article provides insights into the legal reasoning behind the Court's ruling and its potential impact on similar laws in other states.</w:t>
      </w:r>
      <w:r/>
    </w:p>
    <w:p>
      <w:pPr>
        <w:pStyle w:val="ListNumber"/>
        <w:spacing w:line="240" w:lineRule="auto"/>
        <w:ind w:left="720"/>
      </w:pPr>
      <w:r/>
      <w:hyperlink r:id="rId12">
        <w:r>
          <w:rPr>
            <w:color w:val="0000EE"/>
            <w:u w:val="single"/>
          </w:rPr>
          <w:t>https://www.supremecourtcases.com/cases/23-477/united-states-v-skrmetti-transgender-care</w:t>
        </w:r>
      </w:hyperlink>
      <w:r>
        <w:t xml:space="preserve"> - Supreme Court Case Tracker offers a concise overview of United States v. Skrmetti, highlighting the Court's 6-3 decision to uphold Tennessee's law prohibiting certain medical treatments for transgender minors. The summary includes information on the case's background, the Court's reasoning, and the implications for transgender healthcare access.</w:t>
      </w:r>
      <w:r/>
    </w:p>
    <w:p>
      <w:pPr>
        <w:pStyle w:val="ListNumber"/>
        <w:spacing w:line="240" w:lineRule="auto"/>
        <w:ind w:left="720"/>
      </w:pPr>
      <w:r/>
      <w:hyperlink r:id="rId10">
        <w:r>
          <w:rPr>
            <w:color w:val="0000EE"/>
            <w:u w:val="single"/>
          </w:rPr>
          <w:t>https://www.cornell.edu/supremecourt/text/23-477</w:t>
        </w:r>
      </w:hyperlink>
      <w:r>
        <w:t xml:space="preserve"> - The Legal Information Institute at Cornell Law School provides the full text of the Supreme Court's opinion in United States v. Skrmetti, detailing the Court's analysis and reasoning in upholding Tennessee's law restricting certain medical treatments for transgender minors.</w:t>
      </w:r>
      <w:r/>
    </w:p>
    <w:p>
      <w:pPr>
        <w:pStyle w:val="ListNumber"/>
        <w:spacing w:line="240" w:lineRule="auto"/>
        <w:ind w:left="720"/>
      </w:pPr>
      <w:r/>
      <w:hyperlink r:id="rId14">
        <w:r>
          <w:rPr>
            <w:color w:val="0000EE"/>
            <w:u w:val="single"/>
          </w:rPr>
          <w:t>https://www.youtube.com/watch?v=DVH5fzS4MDs</w:t>
        </w:r>
      </w:hyperlink>
      <w:r>
        <w:t xml:space="preserve"> - A video recording of Chief Justice Roberts announcing the Supreme Court's opinion in United States v. Skrmetti, which upheld Tennessee's law prohibiting certain medical treatments for transgender minors. The video provides direct insight into the Court's decision and its implications.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upremecourt.gov/opinions/24pdf/23-477_1b8e.pdf" TargetMode="External"/><Relationship Id="rId10" Type="http://schemas.openxmlformats.org/officeDocument/2006/relationships/hyperlink" Target="https://www.cornell.edu/supremecourt/text/23-477" TargetMode="External"/><Relationship Id="rId11" Type="http://schemas.openxmlformats.org/officeDocument/2006/relationships/hyperlink" Target="https://www.faegredrinker.com/en/insights/publications/2025/6/supreme-court-decides-united-states-v-skrmetti" TargetMode="External"/><Relationship Id="rId12" Type="http://schemas.openxmlformats.org/officeDocument/2006/relationships/hyperlink" Target="https://www.supremecourtcases.com/cases/23-477/united-states-v-skrmetti-transgender-care" TargetMode="External"/><Relationship Id="rId13" Type="http://schemas.openxmlformats.org/officeDocument/2006/relationships/hyperlink" Target="https://meaws.com/news/2026-midterms-and-lgbtq-rights-what-s-at/105505" TargetMode="External"/><Relationship Id="rId14" Type="http://schemas.openxmlformats.org/officeDocument/2006/relationships/hyperlink" Target="https://www.youtube.com/watch?v=DVH5fzS4M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