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Canada’s Trans Youth Laws Are Facing Calls for Inquiry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are urging Ottawa to examine Alberta and Saskatchewan policies affecting trans young people, arguing that rules around school identities, sport and healthcare have intensified fear and pressure. The debate reaches far beyond provincial legislatures, raising difficult questions about parental rights, youth wellbeing, equality and the consequences of using the notwithstanding clause.</w:t>
      </w:r>
      <w:r/>
    </w:p>
    <w:p>
      <w:pPr>
        <w:pStyle w:val="Heading2"/>
      </w:pPr>
      <w:r>
        <w:t>Essential Takeaways</w:t>
      </w:r>
      <w:r/>
      <w:r/>
    </w:p>
    <w:p>
      <w:pPr>
        <w:pStyle w:val="ListBullet"/>
        <w:spacing w:line="240" w:lineRule="auto"/>
        <w:ind w:left="720"/>
      </w:pPr>
      <w:r/>
      <w:r>
        <w:rPr>
          <w:b/>
        </w:rPr>
        <w:t>School identities:</w:t>
      </w:r>
      <w:r>
        <w:t xml:space="preserve"> Alberta and Saskatchewan require parental consent for some pupils under 16 who want to change their names or pronouns at school.</w:t>
      </w:r>
      <w:r/>
    </w:p>
    <w:p>
      <w:pPr>
        <w:pStyle w:val="ListBullet"/>
        <w:spacing w:line="240" w:lineRule="auto"/>
        <w:ind w:left="720"/>
      </w:pPr>
      <w:r/>
      <w:r>
        <w:rPr>
          <w:b/>
        </w:rPr>
        <w:t>Sport restrictions:</w:t>
      </w:r>
      <w:r>
        <w:t xml:space="preserve"> Alberta bars trans athletes aged 12 and over from some amateur competitive female sports.</w:t>
      </w:r>
      <w:r/>
    </w:p>
    <w:p>
      <w:pPr>
        <w:pStyle w:val="ListBullet"/>
        <w:spacing w:line="240" w:lineRule="auto"/>
        <w:ind w:left="720"/>
      </w:pPr>
      <w:r/>
      <w:r>
        <w:rPr>
          <w:b/>
        </w:rPr>
        <w:t>Healthcare limits:</w:t>
      </w:r>
      <w:r>
        <w:t xml:space="preserve"> Alberta has also introduced restrictions affecting gender-affirming care for young people.</w:t>
      </w:r>
      <w:r/>
    </w:p>
    <w:p>
      <w:pPr>
        <w:pStyle w:val="ListBullet"/>
        <w:spacing w:line="240" w:lineRule="auto"/>
        <w:ind w:left="720"/>
      </w:pPr>
      <w:r/>
      <w:r>
        <w:rPr>
          <w:b/>
        </w:rPr>
        <w:t>Legal protection:</w:t>
      </w:r>
      <w:r>
        <w:t xml:space="preserve"> Both provinces have used the notwithstanding clause to shield the measures from certain court challenges.</w:t>
      </w:r>
      <w:r/>
    </w:p>
    <w:p>
      <w:pPr>
        <w:pStyle w:val="ListBullet"/>
        <w:spacing w:line="240" w:lineRule="auto"/>
        <w:ind w:left="720"/>
      </w:pPr>
      <w:r/>
      <w:r>
        <w:rPr>
          <w:b/>
        </w:rPr>
        <w:t>The central dispute:</w:t>
      </w:r>
      <w:r>
        <w:t xml:space="preserve"> Advocates focus on safety, dignity and mental health, while governments stress parental authority and protection in sport and healthcare.</w:t>
      </w:r>
      <w:r/>
      <w:r/>
    </w:p>
    <w:p>
      <w:pPr>
        <w:pStyle w:val="Heading2"/>
      </w:pPr>
      <w:r>
        <w:t>Advocates want Ottawa to investigate</w:t>
      </w:r>
      <w:r/>
    </w:p>
    <w:p>
      <w:r/>
      <w:r>
        <w:t>The immediate push in Ottawa is for a federal inquiry into provincial laws that advocates say have contributed to harassment, bullying and worsening mental health among transgender people. The request comes as campaigners seek a public forum where young people and families can describe what the rules feel like in daily life. According to the Canadian Public Health Association, transgender and gender-diverse people’s rights are closely tied to access to safe, respectful healthcare and social inclusion.</w:t>
      </w:r>
      <w:r/>
    </w:p>
    <w:p>
      <w:r/>
      <w:r>
        <w:t>That makes the political argument unusually personal. A name or pronoun policy may look procedural on paper, but in a classroom it can become a very public moment of exposure, embarrassment or conflict. Rights groups including Action Canada for Sexual Health and Rights have warned that policies affecting young people can have serious consequences for privacy, equality and access to care.</w:t>
      </w:r>
      <w:r/>
    </w:p>
    <w:p>
      <w:pPr>
        <w:pStyle w:val="Heading2"/>
      </w:pPr>
      <w:r>
        <w:t>What the Alberta and Saskatchewan rules do</w:t>
      </w:r>
      <w:r/>
    </w:p>
    <w:p>
      <w:r/>
      <w:r>
        <w:t>In both provinces, school rules require parental consent when pupils under 16 seek to change their names or pronouns at school. Supporters describe that as a question of family involvement and parental rights. Critics argue it can leave young people who aren't safe or supported at home with few practical options.</w:t>
      </w:r>
      <w:r/>
    </w:p>
    <w:p>
      <w:r/>
      <w:r>
        <w:t>Alberta's wider package goes further. It restricts transgender girls and women from taking part in certain amateur competitive female sports, while separate measures limit access to some gender-affirming medical treatments for youth. Analysis from the University of Saskatchewan's School of Public Policy has highlighted the complexity of Bill 137 and the competing legal and policy claims surrounding Saskatchewan's approach.</w:t>
      </w:r>
      <w:r/>
    </w:p>
    <w:p>
      <w:r/>
      <w:r>
        <w:t>The distinction between the provinces matters, but so does the shared direction: decisions about identity, participation and healthcare are being moved into legislation. For families, that can make an already sensitive period feel more rigid and public.</w:t>
      </w:r>
      <w:r/>
    </w:p>
    <w:p>
      <w:pPr>
        <w:pStyle w:val="Heading2"/>
      </w:pPr>
      <w:r>
        <w:t>The legal fight is still unfolding</w:t>
      </w:r>
      <w:r/>
    </w:p>
    <w:p>
      <w:r/>
      <w:r>
        <w:t>Both Alberta Premier Danielle Smith and Saskatchewan Premier Scott Moe have used the notwithstanding clause to protect the laws from some Charter challenges. That is a powerful constitutional tool, and its use has made these disputes about more than the policies themselves. It also raises questions about how governments should balance legislative authority with individual rights.</w:t>
      </w:r>
      <w:r/>
    </w:p>
    <w:p>
      <w:r/>
      <w:r>
        <w:t>The legal landscape remains active. The Legal Education and Action Fund has intervened in litigation involving trans and non-binary youth in Saskatchewan, while its case summary on UR Pride v Saskatchewan sets out the broader constitutional dispute. Those proceedings are important because they test how far provincial governments can go when legislation affects vulnerable young people.</w:t>
      </w:r>
      <w:r/>
    </w:p>
    <w:p>
      <w:r/>
      <w:r>
        <w:t>A court case can settle legal questions, but it can't capture every consequence of a policy. That's one reason advocates want an inquiry: they argue that testimony from pupils, parents, teachers and healthcare professionals should sit alongside constitutional arguments.</w:t>
      </w:r>
      <w:r/>
    </w:p>
    <w:p>
      <w:pPr>
        <w:pStyle w:val="Heading2"/>
      </w:pPr>
      <w:r>
        <w:t>Why mental health is at the centre of the debate</w:t>
      </w:r>
      <w:r/>
    </w:p>
    <w:p>
      <w:r/>
      <w:r>
        <w:t>Campaigners say the impact can show up as anxiety, isolation and fear of being singled out. They have also raised the deaths by suicide of some people since the policies were enacted, arguing that lawmakers need to confront the human cost rather than treating the issue as an abstract culture-war contest. The Canadian Public Health Association has repeatedly linked discrimination and exclusion with poorer health outcomes for transgender and gender-diverse communities.</w:t>
      </w:r>
      <w:r/>
    </w:p>
    <w:p>
      <w:r/>
      <w:r>
        <w:t>Opponents of the policies frame the issue differently. Alberta's government says its healthcare rules are intended to stop young people making decisions it considers premature or difficult to reverse. Its position on sport is presented as a matter of fairness and safety, while both provincial governments describe school consent rules as a way to keep parents involved.</w:t>
      </w:r>
      <w:r/>
    </w:p>
    <w:p>
      <w:r/>
      <w:r>
        <w:t>Those arguments deserve scrutiny, but they also need evidence. The debate is strongest when it distinguishes between different questions: what protects a child's privacy at school, what makes sport fair and safe, and what healthcare should be available to which patients and under what safeguards.</w:t>
      </w:r>
      <w:r/>
    </w:p>
    <w:p>
      <w:pPr>
        <w:pStyle w:val="Heading2"/>
      </w:pPr>
      <w:r>
        <w:t>What happens next for families and schools?</w:t>
      </w:r>
      <w:r/>
    </w:p>
    <w:p>
      <w:r/>
      <w:r>
        <w:t>For families, the practical advice is to check the latest provincial guidance, school-board procedures and available support services, since rules and court proceedings may change. Schools and youth organisations should also make sure pupils know where they can find confidential, non-judgemental help, particularly if home circumstances make disclosure risky.</w:t>
      </w:r>
      <w:r/>
    </w:p>
    <w:p>
      <w:r/>
      <w:r>
        <w:t>The legal and political pressure is unlikely to disappear soon. LEAF's work on Saskatchewan youth cases, Action Canada policy analysis and public-health statements all point to a wider national conversation about how governments make decisions affecting minors. For many parents, teachers and young people, the hope is less about winning a headline than finding a way through a tense moment without leaving anyone feeling invisible.</w:t>
      </w:r>
      <w:r/>
    </w:p>
    <w:p>
      <w:r/>
      <w:r>
        <w:t>The proposed inquiry would be a significant step, but so would a calmer, evidence-led conversation. Trans young people are not simply symbols in a constitutional argument; they're the people who live with its results.</w:t>
      </w:r>
      <w:r/>
    </w:p>
    <w:p>
      <w:r/>
      <w:r>
        <w:t>A closer look could help replace political heat with practical protection.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1">
        <w:r>
          <w:rPr>
            <w:color w:val="0000EE"/>
            <w:u w:val="single"/>
          </w:rPr>
          <w:t>[7]</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4">
        <w:r>
          <w:rPr>
            <w:color w:val="0000EE"/>
            <w:u w:val="single"/>
          </w:rPr>
          <w:t>[4]</w:t>
        </w:r>
      </w:hyperlink>
      <w:r>
        <w:t xml:space="preserve">, </w:t>
      </w:r>
      <w:hyperlink r:id="rId12">
        <w:r>
          <w:rPr>
            <w:color w:val="0000EE"/>
            <w:u w:val="single"/>
          </w:rPr>
          <w:t>[5]</w:t>
        </w:r>
      </w:hyperlink>
      <w:r>
        <w:t xml:space="preserve">- Paragraph 5: </w:t>
      </w:r>
      <w:hyperlink r:id="rId15">
        <w:r>
          <w:rPr>
            <w:color w:val="0000EE"/>
            <w:u w:val="single"/>
          </w:rPr>
          <w:t>[3]</w:t>
        </w:r>
      </w:hyperlink>
      <w:r>
        <w:t xml:space="preserve">, </w:t>
      </w:r>
      <w:hyperlink r:id="rId13">
        <w:r>
          <w:rPr>
            <w:color w:val="0000EE"/>
            <w:u w:val="single"/>
          </w:rPr>
          <w:t>[6]</w:t>
        </w:r>
      </w:hyperlink>
      <w:r>
        <w:t xml:space="preserve">- Paragraph 6: </w:t>
      </w:r>
      <w:hyperlink r:id="rId13">
        <w:r>
          <w:rPr>
            <w:color w:val="0000EE"/>
            <w:u w:val="single"/>
          </w:rPr>
          <w:t>[6]</w:t>
        </w:r>
      </w:hyperlink>
      <w:r>
        <w:t xml:space="preserve">, </w:t>
      </w:r>
      <w:hyperlink r:id="rId11">
        <w:r>
          <w:rPr>
            <w:color w:val="0000EE"/>
            <w:u w:val="single"/>
          </w:rPr>
          <w:t>[7]</w:t>
        </w:r>
      </w:hyperlink>
      <w:r>
        <w:t xml:space="preserve">- Paragraph 7: </w:t>
      </w:r>
      <w:hyperlink r:id="rId14">
        <w:r>
          <w:rPr>
            <w:color w:val="0000EE"/>
            <w:u w:val="single"/>
          </w:rPr>
          <w:t>[4]</w:t>
        </w:r>
      </w:hyperlink>
      <w:r>
        <w:t xml:space="preserve">, </w:t>
      </w:r>
      <w:hyperlink r:id="rId11">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5">
        <w:r>
          <w:rPr>
            <w:color w:val="0000EE"/>
            <w:u w:val="single"/>
          </w:rPr>
          <w:t>[3]</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[7]</w:t>
        </w:r>
      </w:hyperlink>
      <w:r>
        <w:t xml:space="preserve">- Paragraph 11: </w:t>
      </w:r>
      <w:hyperlink r:id="rId15">
        <w:r>
          <w:rPr>
            <w:color w:val="0000EE"/>
            <w:u w:val="single"/>
          </w:rPr>
          <w:t>[3]</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[7]</w:t>
        </w:r>
      </w:hyperlink>
      <w:r>
        <w:t xml:space="preserve">- Paragraph 13: </w:t>
      </w:r>
      <w:hyperlink r:id="rId15">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https://looniepolitics.com/advocates-plea-for-ottawa-to-call-inquiry-into-alberta-saskatchewan-trans-laws/</w:t>
        </w:r>
      </w:hyperlink>
      <w:r>
        <w:t xml:space="preserve"> - Please view link - unable to able to access data</w:t>
      </w:r>
      <w:r/>
    </w:p>
    <w:p>
      <w:pPr>
        <w:pStyle w:val="ListNumber"/>
        <w:spacing w:line="240" w:lineRule="auto"/>
        <w:ind w:left="720"/>
      </w:pPr>
      <w:r/>
      <w:hyperlink r:id="rId10">
        <w:r>
          <w:rPr>
            <w:color w:val="0000EE"/>
            <w:u w:val="single"/>
          </w:rPr>
          <w:t>https://www.actioncanadashr.org/resources/policy-briefs-submissions/2026-08-07-protecting-rights-young-people-impact-albertas-recent-legislation</w:t>
        </w:r>
      </w:hyperlink>
      <w:r>
        <w:t xml:space="preserve"> - In August 2026, Action Canada for Sexual Health and Rights published a policy brief highlighting the impact of Alberta's recent legislation on transgender, Two-Spirit, non-binary, and gender-diverse youth and adults. The laws restrict access to gender-affirming healthcare for youth under 16, require parental consent for students under 16 to use their chosen names and pronouns at school, and ban many trans girls and women from participating in girls' and women's sports. The brief also discusses the government's use of the notwithstanding clause to shield these laws from court challenges.</w:t>
      </w:r>
      <w:r/>
    </w:p>
    <w:p>
      <w:pPr>
        <w:pStyle w:val="ListNumber"/>
        <w:spacing w:line="240" w:lineRule="auto"/>
        <w:ind w:left="720"/>
      </w:pPr>
      <w:r/>
      <w:hyperlink r:id="rId15">
        <w:r>
          <w:rPr>
            <w:color w:val="0000EE"/>
            <w:u w:val="single"/>
          </w:rPr>
          <w:t>https://www.leaf.ca/news/leaf-to-intervene-in-supreme-court-case-to-support-trans-and-non-binary-youth-in-saskatchewan/</w:t>
        </w:r>
      </w:hyperlink>
      <w:r>
        <w:t xml:space="preserve"> - In May 2026, the Women's Legal Education and Action Fund (LEAF) announced its intention to intervene in a Supreme Court case concerning Saskatchewan's pronoun law. The law requires parental consent for school staff to refer to a trans or non-binary student under the age of 16 by their preferred name and pronouns. LEAF's intervention aims to determine whether such laws violate fundamental rights guaranteed by the Canadian Charter of Rights and Freedoms.</w:t>
      </w:r>
      <w:r/>
    </w:p>
    <w:p>
      <w:pPr>
        <w:pStyle w:val="ListNumber"/>
        <w:spacing w:line="240" w:lineRule="auto"/>
        <w:ind w:left="720"/>
      </w:pPr>
      <w:r/>
      <w:hyperlink r:id="rId14">
        <w:r>
          <w:rPr>
            <w:color w:val="0000EE"/>
            <w:u w:val="single"/>
          </w:rPr>
          <w:t>https://www.thetyee.ca/Opinion/2026/05/13/Alberta-False-Claims-Trans-Health-Care/</w:t>
        </w:r>
      </w:hyperlink>
      <w:r>
        <w:t xml:space="preserve"> - In May 2026, Corinne L. Mason and Leah Hamilton published an opinion piece in The Tyee, critiquing Alberta's claims that its restrictions on gender-affirming healthcare for trans youth are based on scientific evidence. The authors argue that the government's actions ignore research showing the positive impact of gender-affirming care on youth mental health and highlight the potential harm caused by such policies.</w:t>
      </w:r>
      <w:r/>
    </w:p>
    <w:p>
      <w:pPr>
        <w:pStyle w:val="ListNumber"/>
        <w:spacing w:line="240" w:lineRule="auto"/>
        <w:ind w:left="720"/>
      </w:pPr>
      <w:r/>
      <w:hyperlink r:id="rId12">
        <w:r>
          <w:rPr>
            <w:color w:val="0000EE"/>
            <w:u w:val="single"/>
          </w:rPr>
          <w:t>https://www.schoolofpublicpolicy.sk.ca/research-ideas/publications-and-policy-insight/policy-brief/bill-137.php</w:t>
        </w:r>
      </w:hyperlink>
      <w:r>
        <w:t xml:space="preserve"> - In September 2024, the Graduate School of Public Policy at the University of Saskatchewan published a policy brief discussing the use of the notwithstanding clause in Saskatchewan's Bill 137, 'The Parent’s Bill of Rights.' The bill requires schools to obtain parental consent for students under 16 before using their chosen name, gender identity, or gender expression, and the brief examines the implications of invoking the notwithstanding clause to shield this law from court challenges.</w:t>
      </w:r>
      <w:r/>
    </w:p>
    <w:p>
      <w:pPr>
        <w:pStyle w:val="ListNumber"/>
        <w:spacing w:line="240" w:lineRule="auto"/>
        <w:ind w:left="720"/>
      </w:pPr>
      <w:r/>
      <w:hyperlink r:id="rId13">
        <w:r>
          <w:rPr>
            <w:color w:val="0000EE"/>
            <w:u w:val="single"/>
          </w:rPr>
          <w:t>https://www.leaf.ca/case_summary/ur-pride-v-saskatchewan/</w:t>
        </w:r>
      </w:hyperlink>
      <w:r>
        <w:t xml:space="preserve"> - The Women's Legal Education and Action Fund (LEAF) is intervening in the Saskatchewan Court of King's Bench in the case of UR Pride Centre for Sexuality and Gender Diversity v. Saskatchewan. The case challenges a policy that requires parental consent for school staff to refer to a trans, non-binary, or gender-diverse student under the age of 16 by their preferred name and pronouns, raising questions about discrimination and fundamental rights.</w:t>
      </w:r>
      <w:r/>
    </w:p>
    <w:p>
      <w:pPr>
        <w:pStyle w:val="ListNumber"/>
        <w:spacing w:line="240" w:lineRule="auto"/>
        <w:ind w:left="720"/>
      </w:pPr>
      <w:r/>
      <w:hyperlink r:id="rId11">
        <w:r>
          <w:rPr>
            <w:color w:val="0000EE"/>
            <w:u w:val="single"/>
          </w:rPr>
          <w:t>https://www.cpha.ca/statement-transgender-and-gender-diverse-rights-and-health</w:t>
        </w:r>
      </w:hyperlink>
      <w:r>
        <w:t xml:space="preserve"> - In January 2024, the Canadian Public Health Association (CPHA) released a statement expressing concern over legislative measures in Alberta, Saskatchewan, and New Brunswick that restrict the rights and opportunities of transgender and gender-diverse youth. These measures include limiting access to gender-affirming healthcare, requiring parental notification for students wishing to change names or pronouns at school, and limiting participation in sports competitions. The CPHA highlights the potential harm and mental health impacts resulting from such measures.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ooniepolitics.com/advocates-plea-for-ottawa-to-call-inquiry-into-alberta-saskatchewan-trans-laws/" TargetMode="External"/><Relationship Id="rId10" Type="http://schemas.openxmlformats.org/officeDocument/2006/relationships/hyperlink" Target="https://www.actioncanadashr.org/resources/policy-briefs-submissions/2026-08-07-protecting-rights-young-people-impact-albertas-recent-legislation" TargetMode="External"/><Relationship Id="rId11" Type="http://schemas.openxmlformats.org/officeDocument/2006/relationships/hyperlink" Target="https://www.cpha.ca/statement-transgender-and-gender-diverse-rights-and-health" TargetMode="External"/><Relationship Id="rId12" Type="http://schemas.openxmlformats.org/officeDocument/2006/relationships/hyperlink" Target="https://www.schoolofpublicpolicy.sk.ca/research-ideas/publications-and-policy-insight/policy-brief/bill-137.php" TargetMode="External"/><Relationship Id="rId13" Type="http://schemas.openxmlformats.org/officeDocument/2006/relationships/hyperlink" Target="https://www.leaf.ca/case_summary/ur-pride-v-saskatchewan/" TargetMode="External"/><Relationship Id="rId14" Type="http://schemas.openxmlformats.org/officeDocument/2006/relationships/hyperlink" Target="https://www.thetyee.ca/Opinion/2026/05/13/Alberta-False-Claims-Trans-Health-Care/" TargetMode="External"/><Relationship Id="rId15" Type="http://schemas.openxmlformats.org/officeDocument/2006/relationships/hyperlink" Target="https://www.leaf.ca/news/leaf-to-intervene-in-supreme-court-case-to-support-trans-and-non-binary-youth-in-saskatchew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