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Seattle Expands Protections for Polyamorous and Nonmonogamous Residents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 has voted to protect people in consensual nonmonogamous relationships, adding polyamorous, pansexual and asexual residents to the city’s civil rights conversation. The unanimous council decision reflects changing family structures, gives chosen families greater visibility and places Seattle among a small but growing group of US cities tackling relationship-based discrimination.</w:t>
      </w:r>
      <w:r/>
    </w:p>
    <w:p>
      <w:pPr>
        <w:pStyle w:val="Heading2"/>
      </w:pPr>
      <w:r>
        <w:t>Seattle’s new protections put nonmonogamy on the civic map</w:t>
      </w:r>
      <w:r/>
    </w:p>
    <w:p>
      <w:r/>
      <w:r>
        <w:t>The Seattle City Council has unanimously approved legislation recognising consensual relationships with multiple partners as part of the city’s protected sexual-orientation and relationship-structure framework. The move places Seattle alongside cities including Oakland and Cambridge, while making it the second Washington city, after Olympia, to adopt similar safeguards.</w:t>
      </w:r>
      <w:r/>
    </w:p>
    <w:p>
      <w:r/>
      <w:r>
        <w:t>For people whose families don’t fit the traditional couple-based model, that legal recognition could feel both practical and quietly profound. The issue isn’t simply whether someone can date more than one person. It’s whether their household, partners and chosen family are treated fairly when housing, employment and public services are involved.</w:t>
      </w:r>
      <w:r/>
    </w:p>
    <w:p>
      <w:r/>
      <w:r>
        <w:t>According to KUOW, the measure also covers diverse sexual orientations and gender expressions, including pansexual and asexual identities. Axios reported that the protections are particularly relevant to potential discrimination in areas such as jobs and housing.</w:t>
      </w:r>
      <w:r/>
    </w:p>
    <w:p>
      <w:pPr>
        <w:pStyle w:val="Heading2"/>
      </w:pPr>
      <w:r>
        <w:t>Why the council says chosen family matters</w:t>
      </w:r>
      <w:r/>
    </w:p>
    <w:p>
      <w:r/>
      <w:r>
        <w:t>Councilmember Alexis Mercedes Rinck sponsored the bill, while Councilmember Dionne Foster introduced it. Rinck argued that families take many forms and should receive equal protection, framing the legislation as an update to civil rights rules rather than a special exemption.</w:t>
      </w:r>
      <w:r/>
    </w:p>
    <w:p>
      <w:r/>
      <w:r>
        <w:t>That distinction matters. Supporters say the law reflects how some Seattle residents already live, rather than encouraging a particular relationship style. Foster similarly said people in her own community would be safer with the change, according to Seattle Gay News.</w:t>
      </w:r>
      <w:r/>
    </w:p>
    <w:p>
      <w:r/>
      <w:r>
        <w:t>Public speakers included Jessa Davis, founder of the Seattle Coalition for Family and Relationship Equity and cochair of the Seattle LGBTQ Commission, alongside LGBTQ commissioner Ashley Ford and Queer Power Alliance executive director Taylor Farley. Their presence underlined the legislation’s community-led roots, rather than making it feel like a policy created in a vacuum.</w:t>
      </w:r>
      <w:r/>
    </w:p>
    <w:p>
      <w:pPr>
        <w:pStyle w:val="Heading2"/>
      </w:pPr>
      <w:r>
        <w:t>The wider US trend is growing, but protection remains patchy</w:t>
      </w:r>
      <w:r/>
    </w:p>
    <w:p>
      <w:r/>
      <w:r>
        <w:t>Seattle’s decision arrives as more cities begin asking whether older anti-discrimination rules adequately cover nontraditional households. Oakland, Cambridge and Olympia are among the places that have already introduced protections, though coverage varies and national recognition remains limited.</w:t>
      </w:r>
      <w:r/>
    </w:p>
    <w:p>
      <w:r/>
      <w:r>
        <w:t>That patchwork can make everyday life unnecessarily complicated. A household may share finances, childcare or a tenancy, yet still find that official policies assume there’s only one recognised partner. Axios noted that employment and housing are key areas where discrimination concerns arise, making local protections more than a symbolic gesture.</w:t>
      </w:r>
      <w:r/>
    </w:p>
    <w:p>
      <w:r/>
      <w:r>
        <w:t>Still, the change won’t instantly settle every dispute. The legislation is scheduled to take effect in June 2027, giving city agencies, employers and residents time to understand how the revised code will work in practice. The real test will be whether people can use the rules clearly and confidently when problems occur.</w:t>
      </w:r>
      <w:r/>
    </w:p>
    <w:p>
      <w:pPr>
        <w:pStyle w:val="Heading2"/>
      </w:pPr>
      <w:r>
        <w:t>Seattle also takes a stand on two anti-Trans ballot measures</w:t>
      </w:r>
      <w:r/>
    </w:p>
    <w:p>
      <w:r/>
      <w:r>
        <w:t>The council’s vote came alongside opposition to two proposed Washington ballot initiatives, IL26-001 and IL26-638. Councilmembers said the measures would threaten Trans young people and undermine privacy, particularly around access to sport and public life.</w:t>
      </w:r>
      <w:r/>
    </w:p>
    <w:p>
      <w:r/>
      <w:r>
        <w:t>Councilmember Eddie Lin warned that hostility has no place in Seattle or Washington state, while Foster said young people should be able to participate without fearing that their privacy will be exposed. Seattle’s LGBTQ community has therefore been presented with two linked messages: broader recognition for diverse families, and resistance to policies supporters view as targeting Trans residents.</w:t>
      </w:r>
      <w:r/>
    </w:p>
    <w:p>
      <w:r/>
      <w:r>
        <w:t>The council voted seven to zero on the opposition statement, with two members absent. Progressive commentators, including the Northwest Progressive Institute and community education advocates, have also urged voters to reject the initiatives.</w:t>
      </w:r>
      <w:r/>
    </w:p>
    <w:p>
      <w:pPr>
        <w:pStyle w:val="Heading2"/>
      </w:pPr>
      <w:r>
        <w:t>What the change means for residents</w:t>
      </w:r>
      <w:r/>
    </w:p>
    <w:p>
      <w:r/>
      <w:r>
        <w:t>For anyone in a nonmonogamous household, the most useful next step is to watch for guidance from Seattle’s civil rights authorities as the 2027 start date approaches. Keep records of housing, workplace or service-related concerns, and seek advice from a local LGBTQ advocacy organisation if a dispute appears connected to relationship structure.</w:t>
      </w:r>
      <w:r/>
    </w:p>
    <w:p>
      <w:r/>
      <w:r>
        <w:t>It’s also worth remembering that legal recognition and social acceptance move at different speeds. A policy can open an important door, but employers, landlords and public bodies still need clear training and consistent enforcement. That’s where community groups and local reporting will remain important.</w:t>
      </w:r>
      <w:r/>
    </w:p>
    <w:p>
      <w:r/>
      <w:r>
        <w:t>Seattle’s vote won’t rewrite family life overnight, but it does send a clear signal about whose relationships deserve to be visible. For many residents, that recognition may be the part that lands first.</w:t>
      </w:r>
      <w:r/>
    </w:p>
    <w:p>
      <w:r/>
      <w:r>
        <w:t>A small change in municipal language could make a meaningful difference to how people live, work and feel at home.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[6]</w:t>
        </w:r>
      </w:hyperlink>
      <w:r>
        <w:t xml:space="preserve">- Paragraph 2: </w:t>
      </w:r>
      <w:hyperlink r:id="rId11">
        <w:r>
          <w:rPr>
            <w:color w:val="0000EE"/>
            <w:u w:val="single"/>
          </w:rPr>
          <w:t>[6]</w:t>
        </w:r>
      </w:hyperlink>
      <w:r>
        <w:t xml:space="preserve">, </w:t>
      </w:r>
      <w:hyperlink r:id="rId12">
        <w:r>
          <w:rPr>
            <w:color w:val="0000EE"/>
            <w:u w:val="single"/>
          </w:rPr>
          <w:t>[7]</w:t>
        </w:r>
      </w:hyperlink>
      <w:r>
        <w:t xml:space="preserve">- Paragraph 3: </w:t>
      </w:r>
      <w:hyperlink r:id="rId13">
        <w:r>
          <w:rPr>
            <w:color w:val="0000EE"/>
            <w:u w:val="single"/>
          </w:rPr>
          <w:t>[2]</w:t>
        </w:r>
      </w:hyperlink>
      <w:r>
        <w:t xml:space="preserve">, </w:t>
      </w:r>
      <w:hyperlink r:id="rId10">
        <w:r>
          <w:rPr>
            <w:color w:val="0000EE"/>
            <w:u w:val="single"/>
          </w:rPr>
          <w:t>[3]</w:t>
        </w:r>
      </w:hyperlink>
      <w:r>
        <w:t xml:space="preserve">- Paragraph 4: </w:t>
      </w:r>
      <w:hyperlink r:id="rId9">
        <w:r>
          <w:rPr>
            <w:color w:val="0000EE"/>
            <w:u w:val="single"/>
          </w:rPr>
          <w:t>[1]</w:t>
        </w:r>
      </w:hyperlink>
      <w:r>
        <w:t xml:space="preserve">, </w:t>
      </w:r>
      <w:hyperlink r:id="rId12">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[6]</w:t>
        </w:r>
      </w:hyperlink>
      <w:r>
        <w:t xml:space="preserve">- Paragraph 6: </w:t>
      </w:r>
      <w:hyperlink r:id="rId14">
        <w:r>
          <w:rPr>
            <w:color w:val="0000EE"/>
            <w:u w:val="single"/>
          </w:rPr>
          <w:t>[4]</w:t>
        </w:r>
      </w:hyperlink>
      <w:r>
        <w:t xml:space="preserve">, </w:t>
      </w:r>
      <w:hyperlink r:id="rId15">
        <w:r>
          <w:rPr>
            <w:color w:val="0000EE"/>
            <w:u w:val="single"/>
          </w:rPr>
          <w:t>[5]</w:t>
        </w:r>
      </w:hyperlink>
      <w:r>
        <w:t xml:space="preserve">- Paragraph 7: </w:t>
      </w:r>
      <w:hyperlink r:id="rId13">
        <w:r>
          <w:rPr>
            <w:color w:val="0000EE"/>
            <w:u w:val="single"/>
          </w:rPr>
          <w:t>[2]</w:t>
        </w:r>
      </w:hyperlink>
      <w:r>
        <w:t xml:space="preserve">, </w:t>
      </w:r>
      <w:hyperlink r:id="rId10">
        <w:r>
          <w:rPr>
            <w:color w:val="0000EE"/>
            <w:u w:val="single"/>
          </w:rPr>
          <w:t>[3]</w:t>
        </w:r>
      </w:hyperlink>
      <w:r>
        <w:t xml:space="preserve">- Paragraph 8: </w:t>
      </w:r>
      <w:hyperlink r:id="rId14">
        <w:r>
          <w:rPr>
            <w:color w:val="0000EE"/>
            <w:u w:val="single"/>
          </w:rPr>
          <w:t>[4]</w:t>
        </w:r>
      </w:hyperlink>
      <w:r>
        <w:t xml:space="preserve">, </w:t>
      </w:r>
      <w:hyperlink r:id="rId15">
        <w:r>
          <w:rPr>
            <w:color w:val="0000EE"/>
            <w:u w:val="single"/>
          </w:rPr>
          <w:t>[5]</w:t>
        </w:r>
      </w:hyperlink>
      <w:r>
        <w:t xml:space="preserve">- Paragraph 9: </w:t>
      </w:r>
      <w:hyperlink r:id="rId11">
        <w:r>
          <w:rPr>
            <w:color w:val="0000EE"/>
            <w:u w:val="single"/>
          </w:rPr>
          <w:t>[6]</w:t>
        </w:r>
      </w:hyperlink>
      <w:r>
        <w:t xml:space="preserve">, </w:t>
      </w:r>
      <w:hyperlink r:id="rId12">
        <w:r>
          <w:rPr>
            <w:color w:val="0000EE"/>
            <w:u w:val="single"/>
          </w:rPr>
          <w:t>[7]</w:t>
        </w:r>
      </w:hyperlink>
      <w:r>
        <w:t xml:space="preserve">- Paragraph 10: </w:t>
      </w:r>
      <w:hyperlink r:id="rId13">
        <w:r>
          <w:rPr>
            <w:color w:val="0000EE"/>
            <w:u w:val="single"/>
          </w:rPr>
          <w:t>[2]</w:t>
        </w:r>
      </w:hyperlink>
      <w:r>
        <w:t xml:space="preserve">, </w:t>
      </w:r>
      <w:hyperlink r:id="rId10">
        <w:r>
          <w:rPr>
            <w:color w:val="0000EE"/>
            <w:u w:val="single"/>
          </w:rPr>
          <w:t>[3]</w:t>
        </w:r>
      </w:hyperlink>
      <w:r>
        <w:t xml:space="preserve">- Paragraph 11: </w:t>
      </w:r>
      <w:hyperlink r:id="rId14">
        <w:r>
          <w:rPr>
            <w:color w:val="0000EE"/>
            <w:u w:val="single"/>
          </w:rPr>
          <w:t>[4]</w:t>
        </w:r>
      </w:hyperlink>
      <w:r>
        <w:t xml:space="preserve">, </w:t>
      </w:r>
      <w:hyperlink r:id="rId15">
        <w:r>
          <w:rPr>
            <w:color w:val="0000EE"/>
            <w:u w:val="single"/>
          </w:rPr>
          <w:t>[5]</w:t>
        </w:r>
      </w:hyperlink>
      <w:r>
        <w:t xml:space="preserve">- Paragraph 12: </w:t>
      </w:r>
      <w:hyperlink r:id="rId11">
        <w:r>
          <w:rPr>
            <w:color w:val="0000EE"/>
            <w:u w:val="single"/>
          </w:rPr>
          <w:t>[6]</w:t>
        </w:r>
      </w:hyperlink>
      <w:r>
        <w:t xml:space="preserve">, </w:t>
      </w:r>
      <w:hyperlink r:id="rId12">
        <w:r>
          <w:rPr>
            <w:color w:val="0000EE"/>
            <w:u w:val="single"/>
          </w:rPr>
          <w:t>[7]</w:t>
        </w:r>
      </w:hyperlink>
      <w:r>
        <w:t xml:space="preserve">- Paragraph 13: </w:t>
      </w:r>
      <w:hyperlink r:id="rId13">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https://www.sgn.org/story/170357/</w:t>
        </w:r>
      </w:hyperlink>
      <w:r>
        <w:t xml:space="preserve"> - Please view link - unable to able to access data</w:t>
      </w:r>
      <w:r/>
    </w:p>
    <w:p>
      <w:pPr>
        <w:pStyle w:val="ListNumber"/>
        <w:spacing w:line="240" w:lineRule="auto"/>
        <w:ind w:left="720"/>
      </w:pPr>
      <w:r/>
      <w:hyperlink r:id="rId13">
        <w:r>
          <w:rPr>
            <w:color w:val="0000EE"/>
            <w:u w:val="single"/>
          </w:rPr>
          <w:t>https://seattle.legistar.com/LegislationDetail.aspx?GUID=01C70EAD-3964-4E26-8DDF-E42FD2C8AB8F&amp;ID=8175165&amp;Options=&amp;Search=</w:t>
        </w:r>
      </w:hyperlink>
      <w:r>
        <w:t xml:space="preserve"> - On September 15, 2026, the Seattle City Council unanimously passed Council Bill 121278, amending the municipal code to expand civil rights protections. The ordinance recognises diverse sexual orientations and relationship structures, including pansexuality, asexuality, and consensual nonmonogamous relationships. It also acknowledges gender identities beyond the binary, such as nonbinary expressions. The law is set to take effect on June 1, 2027, to allow time for implementation. The bill was sponsored by Councilmember Alexis Mercedes Rinck and co-sponsored by Councilmember Dionne Foster.</w:t>
      </w:r>
      <w:r/>
    </w:p>
    <w:p>
      <w:pPr>
        <w:pStyle w:val="ListNumber"/>
        <w:spacing w:line="240" w:lineRule="auto"/>
        <w:ind w:left="720"/>
      </w:pPr>
      <w:r/>
      <w:hyperlink r:id="rId10">
        <w:r>
          <w:rPr>
            <w:color w:val="0000EE"/>
            <w:u w:val="single"/>
          </w:rPr>
          <w:t>https://www.kuow.org/governing/2026-09-15/seattle-makes-polyamorous-pan-and-asexual-people-a-protected-class</w:t>
        </w:r>
      </w:hyperlink>
      <w:r>
        <w:t xml:space="preserve"> - Seattle City Council voted unanimously on September 15, 2026, to extend legal discrimination protections to individuals in polyamorous relationships and those identifying as pansexual and asexual. The legislation, sponsored by Councilmember Alexis Mercedes Rinck, amends the definition of sexual orientation in Seattle's city code to include polyamory, pansexuality, and asexuality. The ordinance defines pansexuality as experiencing potential attraction to others regardless of gender identity and asexuality as not experiencing sexual attraction but potentially experiencing romantic attractions or significant connections.</w:t>
      </w:r>
      <w:r/>
    </w:p>
    <w:p>
      <w:pPr>
        <w:pStyle w:val="ListNumber"/>
        <w:spacing w:line="240" w:lineRule="auto"/>
        <w:ind w:left="720"/>
      </w:pPr>
      <w:r/>
      <w:hyperlink r:id="rId14">
        <w:r>
          <w:rPr>
            <w:color w:val="0000EE"/>
            <w:u w:val="single"/>
          </w:rPr>
          <w:t>https://www.nwprogressive.org/weblog/2026/01/no-on-il26-001-and-il26-638-we-defeated-right-wing-mega-millionaire-brian-heywood-in-2024-and-we-can-do-it-again-in-2026.html</w:t>
        </w:r>
      </w:hyperlink>
      <w:r>
        <w:t xml:space="preserve"> - In January 2026, the Northwest Progressive Institute (NPI) announced its opposition to Washington State Initiative Measures IL26-001 and IL26-638, which were expected to appear on the November 2026 ballot. These initiatives, backed by right-wing billionaire Brian Heywood, aimed to challenge student safety and LGBTQ+ rights. The NPI highlighted the need to protect Washington's youth and communities from these divisive measures, referencing their previous success in defeating similar initiatives in 2024.</w:t>
      </w:r>
      <w:r/>
    </w:p>
    <w:p>
      <w:pPr>
        <w:pStyle w:val="ListNumber"/>
        <w:spacing w:line="240" w:lineRule="auto"/>
        <w:ind w:left="720"/>
      </w:pPr>
      <w:r/>
      <w:hyperlink r:id="rId15">
        <w:r>
          <w:rPr>
            <w:color w:val="0000EE"/>
            <w:u w:val="single"/>
          </w:rPr>
          <w:t>https://scptsa.org/blog-updates/2026/9/10/vote-no-on-i-001-and-i-638</w:t>
        </w:r>
      </w:hyperlink>
      <w:r>
        <w:t xml:space="preserve"> - The Seattle Council PTSA, representing over 80 PTAs and PTSAs in Seattle Public Schools, urged members to vote against Initiative Measures IL26-001 and IL26-638 in the November 2026 election. IL26-001 sought to weaken laws regarding parental rights, student privacy, and records in schools, potentially exposing children to abuse and mental health issues. IL26-638 proposed requiring invasive medical sex inspections for female students participating in sports, discriminating against girls and infringing on parental decision-making.</w:t>
      </w:r>
      <w:r/>
    </w:p>
    <w:p>
      <w:pPr>
        <w:pStyle w:val="ListNumber"/>
        <w:spacing w:line="240" w:lineRule="auto"/>
        <w:ind w:left="720"/>
      </w:pPr>
      <w:r/>
      <w:hyperlink r:id="rId11">
        <w:r>
          <w:rPr>
            <w:color w:val="0000EE"/>
            <w:u w:val="single"/>
          </w:rPr>
          <w:t>https://www.axios.com/local/seattle/2026/09/10/seattle-polyamory-nonmonogamy-discrimination-housing-jobs</w:t>
        </w:r>
      </w:hyperlink>
      <w:r>
        <w:t xml:space="preserve"> - Seattle officials are considering a proposal to extend civil rights protections to individuals in polyamorous and other consensual nonmonogamous relationships, aiming to prevent discrimination in housing and employment. The proposed ordinance, championed by Councilmember Alexis Mercedes Rinck, seeks to recognise and safeguard diverse family and relationship structures under city law. This initiative follows similar legislative actions by other U.S. cities, including Olympia, Portland, West Hollywood, Oakland, and Berkeley. The proposal also aims to extend protections to asexual and pansexual individuals.</w:t>
      </w:r>
      <w:r/>
    </w:p>
    <w:p>
      <w:pPr>
        <w:pStyle w:val="ListNumber"/>
        <w:spacing w:line="240" w:lineRule="auto"/>
        <w:ind w:left="720"/>
      </w:pPr>
      <w:r/>
      <w:hyperlink r:id="rId12">
        <w:r>
          <w:rPr>
            <w:color w:val="0000EE"/>
            <w:u w:val="single"/>
          </w:rPr>
          <w:t>https://vyraa.com/washington-state/seattle-city-council-passes-civil-rights-protections-polyamorous-residents-2026</w:t>
        </w:r>
      </w:hyperlink>
      <w:r>
        <w:t xml:space="preserve"> - The Seattle City Council unanimously approved Council Bill 121278, amending the municipal civil rights code to prohibit discrimination based on consensual non-monogamy, pansexuality, and asexuality. This makes Seattle the largest U.S. city to extend civil rights protections to polyamorous individuals. The measure expands the Seattle Municipal Code to ban relationship-based discrimination in private employment, rental housing, business licensing, and public accommodations. The ordinance clarifies protections for pansexual, asexual, and non-binary residents while establishing consensual non-monogamy under protected orientation practices.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0357/" TargetMode="External"/><Relationship Id="rId10" Type="http://schemas.openxmlformats.org/officeDocument/2006/relationships/hyperlink" Target="https://www.kuow.org/governing/2026-09-15/seattle-makes-polyamorous-pan-and-asexual-people-a-protected-class" TargetMode="External"/><Relationship Id="rId11" Type="http://schemas.openxmlformats.org/officeDocument/2006/relationships/hyperlink" Target="https://www.axios.com/local/seattle/2026/09/10/seattle-polyamory-nonmonogamy-discrimination-housing-jobs" TargetMode="External"/><Relationship Id="rId12" Type="http://schemas.openxmlformats.org/officeDocument/2006/relationships/hyperlink" Target="https://vyraa.com/washington-state/seattle-city-council-passes-civil-rights-protections-polyamorous-residents-2026" TargetMode="External"/><Relationship Id="rId13" Type="http://schemas.openxmlformats.org/officeDocument/2006/relationships/hyperlink" Target="https://seattle.legistar.com/LegislationDetail.aspx?GUID=01C70EAD-3964-4E26-8DDF-E42FD2C8AB8F&amp;ID=8175165&amp;Options=&amp;Search=" TargetMode="External"/><Relationship Id="rId14" Type="http://schemas.openxmlformats.org/officeDocument/2006/relationships/hyperlink" Target="https://www.nwprogressive.org/weblog/2026/01/no-on-il26-001-and-il26-638-we-defeated-right-wing-mega-millionaire-brian-heywood-in-2024-and-we-can-do-it-again-in-2026.html" TargetMode="External"/><Relationship Id="rId15" Type="http://schemas.openxmlformats.org/officeDocument/2006/relationships/hyperlink" Target="https://scptsa.org/blog-updates/2026/9/10/vote-no-on-i-001-and-i-63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