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California LGBTQ protections expand privacy, healthcare and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California has approved a fresh package of LGBTQ protections, covering medical privacy, transgender veterans, HIV prevention, conversion therapy claims and campus support. The measures arrive as state leaders respond to growing political pressure and rising safety concerns, giving queer and trans Californians more practical safeguards in healthcare, education, housing and public life.</w:t>
      </w:r>
      <w:r/>
    </w:p>
    <w:p>
      <w:pPr>
        <w:pStyle w:val="Heading2"/>
      </w:pPr>
      <w:r>
        <w:t>Essential Takeaways</w:t>
      </w:r>
      <w:r/>
      <w:r/>
    </w:p>
    <w:p>
      <w:pPr>
        <w:pStyle w:val="ListBullet"/>
        <w:spacing w:line="240" w:lineRule="auto"/>
        <w:ind w:left="720"/>
      </w:pPr>
      <w:r/>
      <w:r>
        <w:rPr>
          <w:b/>
        </w:rPr>
        <w:t>Medical privacy:</w:t>
      </w:r>
      <w:r>
        <w:t xml:space="preserve"> Businesses must alert California’s attorney general before responding to certain subpoenas involving legally protected abortion or gender-affirming care.</w:t>
      </w:r>
      <w:r/>
    </w:p>
    <w:p>
      <w:pPr>
        <w:pStyle w:val="ListBullet"/>
        <w:spacing w:line="240" w:lineRule="auto"/>
        <w:ind w:left="720"/>
      </w:pPr>
      <w:r/>
      <w:r>
        <w:rPr>
          <w:b/>
        </w:rPr>
        <w:t>Trans veterans:</w:t>
      </w:r>
      <w:r>
        <w:t xml:space="preserve"> Those forced out of military service because they’re transgender can retain access to housing, licensing and discharge-upgrade support.</w:t>
      </w:r>
      <w:r/>
    </w:p>
    <w:p>
      <w:pPr>
        <w:pStyle w:val="ListBullet"/>
        <w:spacing w:line="240" w:lineRule="auto"/>
        <w:ind w:left="720"/>
      </w:pPr>
      <w:r/>
      <w:r>
        <w:rPr>
          <w:b/>
        </w:rPr>
        <w:t>Conversion therapy claims:</w:t>
      </w:r>
      <w:r>
        <w:t xml:space="preserve"> Survivors have longer windows to bring malpractice actions over alleged harm.</w:t>
      </w:r>
      <w:r/>
    </w:p>
    <w:p>
      <w:pPr>
        <w:pStyle w:val="ListBullet"/>
        <w:spacing w:line="240" w:lineRule="auto"/>
        <w:ind w:left="720"/>
      </w:pPr>
      <w:r/>
      <w:r>
        <w:rPr>
          <w:b/>
        </w:rPr>
        <w:t>HIV prevention:</w:t>
      </w:r>
      <w:r>
        <w:t xml:space="preserve"> Some non-profit providers will be better placed to recover the cost of supplying injectable PrEP.</w:t>
      </w:r>
      <w:r/>
    </w:p>
    <w:p>
      <w:pPr>
        <w:pStyle w:val="ListBullet"/>
        <w:spacing w:line="240" w:lineRule="auto"/>
        <w:ind w:left="720"/>
      </w:pPr>
      <w:r/>
      <w:r>
        <w:rPr>
          <w:b/>
        </w:rPr>
        <w:t>Campus and event safety:</w:t>
      </w:r>
      <w:r>
        <w:t xml:space="preserve"> LGBTQ students can access confidential support at satellite campuses, while Pride events may qualify for state security funding.</w:t>
      </w:r>
      <w:r/>
      <w:r/>
    </w:p>
    <w:p>
      <w:pPr>
        <w:pStyle w:val="Heading2"/>
      </w:pPr>
      <w:r>
        <w:t>California draws a line around sensitive health data</w:t>
      </w:r>
      <w:r/>
    </w:p>
    <w:p>
      <w:r/>
      <w:r>
        <w:t>The most immediate change concerns information that can expose people to politically motivated investigations. California’s new privacy rules require businesses to notify the state attorney general before answering certain subpoenas or official enquiries connected with abortion or gender-affirming healthcare provided legally in the state.</w:t>
      </w:r>
      <w:r/>
    </w:p>
    <w:p>
      <w:r/>
      <w:r>
        <w:t xml:space="preserve">That gives the attorney general an opportunity to challenge or limit demands for records, rather than leaving providers to handle hostile legal requests alone. It’s a significant practical shift at a time when medical data can become a tool of intimidation, not simply a route to treatment. California has repeatedly framed its LGBTQ policy as part of a wider effort to defend personal autonomy and confidential care, according to the governor’s office. </w:t>
      </w:r>
      <w:hyperlink r:id="rId9">
        <w:r>
          <w:rPr>
            <w:color w:val="0000EE"/>
            <w:u w:val="single"/>
          </w:rPr>
          <w:t>[4]</w:t>
        </w:r>
      </w:hyperlink>
      <w:r>
        <w:t xml:space="preserve">, </w:t>
      </w:r>
      <w:hyperlink r:id="rId10">
        <w:r>
          <w:rPr>
            <w:color w:val="0000EE"/>
            <w:u w:val="single"/>
          </w:rPr>
          <w:t>[6]</w:t>
        </w:r>
      </w:hyperlink>
      <w:r/>
    </w:p>
    <w:p>
      <w:r/>
      <w:r>
        <w:t xml:space="preserve">A separate measure tightens control over information about sexual orientation, gender identity and intersex status held by state agencies. Such data generally can’t be shared outside California’s government, except in narrowly defined circumstances. For people who’ve spent years deciding carefully who gets to know intimate details about them, that boundary matters. </w:t>
      </w:r>
      <w:hyperlink r:id="rId11">
        <w:r>
          <w:rPr>
            <w:color w:val="0000EE"/>
            <w:u w:val="single"/>
          </w:rPr>
          <w:t>[5]</w:t>
        </w:r>
      </w:hyperlink>
      <w:r>
        <w:t xml:space="preserve">, </w:t>
      </w:r>
      <w:hyperlink r:id="rId12">
        <w:r>
          <w:rPr>
            <w:color w:val="0000EE"/>
            <w:u w:val="single"/>
          </w:rPr>
          <w:t>[7]</w:t>
        </w:r>
      </w:hyperlink>
      <w:r/>
    </w:p>
    <w:p>
      <w:pPr>
        <w:pStyle w:val="Heading2"/>
      </w:pPr>
      <w:r>
        <w:t>Transgender veterans get a clearer route back to civilian life</w:t>
      </w:r>
      <w:r/>
    </w:p>
    <w:p>
      <w:r/>
      <w:r>
        <w:t>Another law focuses on service members affected by federal restrictions on transgender military personnel. It keeps state support available for housing, professional licensing and discharge upgrades, even when someone’s military career was disrupted because of their gender identity.</w:t>
      </w:r>
      <w:r/>
    </w:p>
    <w:p>
      <w:r/>
      <w:r>
        <w:t xml:space="preserve">That could make a real difference during an already difficult transition. A veteran leaving service may need somewhere to live, help translating military experience into civilian work and assistance correcting a discharge record. Losing access to those services would add a bureaucratic penalty to an experience many veterans didn’t choose. California’s broader record of supporting LGBTQ residents has included targeted measures for military families and public-service access. </w:t>
      </w:r>
      <w:hyperlink r:id="rId9">
        <w:r>
          <w:rPr>
            <w:color w:val="0000EE"/>
            <w:u w:val="single"/>
          </w:rPr>
          <w:t>[4]</w:t>
        </w:r>
      </w:hyperlink>
      <w:r>
        <w:t xml:space="preserve">, </w:t>
      </w:r>
      <w:hyperlink r:id="rId10">
        <w:r>
          <w:rPr>
            <w:color w:val="0000EE"/>
            <w:u w:val="single"/>
          </w:rPr>
          <w:t>[6]</w:t>
        </w:r>
      </w:hyperlink>
      <w:r/>
    </w:p>
    <w:p>
      <w:r/>
      <w:r>
        <w:t xml:space="preserve">The legislation also sends a message beyond the paperwork. Supporters say veterans shouldn’t have to prove they’re acceptable before receiving help they earned through service. It’s a modest-sounding promise, but for someone rebuilding a career and home life, it can feel like the difference between a locked door and a working key. </w:t>
      </w:r>
      <w:hyperlink r:id="rId11">
        <w:r>
          <w:rPr>
            <w:color w:val="0000EE"/>
            <w:u w:val="single"/>
          </w:rPr>
          <w:t>[5]</w:t>
        </w:r>
      </w:hyperlink>
      <w:r/>
    </w:p>
    <w:p>
      <w:pPr>
        <w:pStyle w:val="Heading2"/>
      </w:pPr>
      <w:r>
        <w:t>More time for survivors of conversion therapy to seek justice</w:t>
      </w:r>
      <w:r/>
    </w:p>
    <w:p>
      <w:r/>
      <w:r>
        <w:t>California has also extended the time available for people to bring civil claims against practitioners who subjected them to conversion therapy. The new rules recognise that harm isn’t always understood immediately, particularly when the person affected was a child or teenager.</w:t>
      </w:r>
      <w:r/>
    </w:p>
    <w:p>
      <w:r/>
      <w:r>
        <w:t xml:space="preserve">Those who were under 18 at the time may bring a claim before turning 40. Older participants have a ten-year period after their last session, while a separate route can apply when an injury or illness is discovered later. The change reflects a difficult reality: shame, fear and confusion can delay recognition of what happened and whether legal action is possible. </w:t>
      </w:r>
      <w:hyperlink r:id="rId9">
        <w:r>
          <w:rPr>
            <w:color w:val="0000EE"/>
            <w:u w:val="single"/>
          </w:rPr>
          <w:t>[4]</w:t>
        </w:r>
      </w:hyperlink>
      <w:r>
        <w:t xml:space="preserve">, </w:t>
      </w:r>
      <w:hyperlink r:id="rId10">
        <w:r>
          <w:rPr>
            <w:color w:val="0000EE"/>
            <w:u w:val="single"/>
          </w:rPr>
          <w:t>[6]</w:t>
        </w:r>
      </w:hyperlink>
      <w:r/>
    </w:p>
    <w:p>
      <w:r/>
      <w:r>
        <w:t xml:space="preserve">Medical organisations have long rejected conversion therapy as harmful, and California was an early mover in restricting its use with minors. The legal landscape remains unsettled, however, after a US Supreme Court ruling raised free-speech questions around state bans. Extending access to civil claims doesn’t erase that uncertainty, but it gives survivors more breathing room. </w:t>
      </w:r>
      <w:hyperlink r:id="rId12">
        <w:r>
          <w:rPr>
            <w:color w:val="0000EE"/>
            <w:u w:val="single"/>
          </w:rPr>
          <w:t>[7]</w:t>
        </w:r>
      </w:hyperlink>
      <w:r/>
    </w:p>
    <w:p>
      <w:pPr>
        <w:pStyle w:val="Heading2"/>
      </w:pPr>
      <w:r>
        <w:t>Injectable PrEP providers should find reimbursement easier</w:t>
      </w:r>
      <w:r/>
    </w:p>
    <w:p>
      <w:r/>
      <w:r>
        <w:t>The package also addresses a less visible but highly practical problem in HIV prevention. Non-profit organisations that dispense injectable PrEP through their own pharmacies should have a clearer route to recovering the cost of the medicine when insurance arrangements place coverage under a policyholder’s medical benefit.</w:t>
      </w:r>
      <w:r/>
    </w:p>
    <w:p>
      <w:r/>
      <w:r>
        <w:t xml:space="preserve">That matters because injectable PrEP can remove the need for daily tablets, but its delivery is more complex. Providers need to purchase, store and administer the treatment, then navigate reimbursement systems that weren’t always designed around community clinics. Better payment pathways could help organisations continue offering the option without absorbing unsustainable costs. </w:t>
      </w:r>
      <w:hyperlink r:id="rId13">
        <w:r>
          <w:rPr>
            <w:color w:val="0000EE"/>
            <w:u w:val="single"/>
          </w:rPr>
          <w:t>[3]</w:t>
        </w:r>
      </w:hyperlink>
      <w:r/>
    </w:p>
    <w:p>
      <w:r/>
      <w:r>
        <w:t xml:space="preserve">For patients, the benefit is choice. Some people prefer a discreet injection schedule, while others find daily medication simpler. The best prevention method is the one someone can realistically keep using, and community providers are often the people who understand those everyday barriers. </w:t>
      </w:r>
      <w:hyperlink r:id="rId13">
        <w:r>
          <w:rPr>
            <w:color w:val="0000EE"/>
            <w:u w:val="single"/>
          </w:rPr>
          <w:t>[3]</w:t>
        </w:r>
      </w:hyperlink>
      <w:r/>
    </w:p>
    <w:p>
      <w:pPr>
        <w:pStyle w:val="Heading2"/>
      </w:pPr>
      <w:r>
        <w:t>Campuses and Pride events gain extra support</w:t>
      </w:r>
      <w:r/>
    </w:p>
    <w:p>
      <w:r/>
      <w:r>
        <w:t>California’s colleges and universities must now identify confidential staff contacts at satellite campuses, branch sites and outreach centres to support LGBTQ students, staff and faculty. The move extends an existing expectation for main campuses and acknowledges that not everyone studies or works at a large central site.</w:t>
      </w:r>
      <w:r/>
    </w:p>
    <w:p>
      <w:r/>
      <w:r>
        <w:t xml:space="preserve">That detail is easy to overlook, but access often depends on geography. A student attending a smaller centre shouldn’t need to travel across a region to find someone trained to help with discrimination, housing worries or identity-related support. It’s the sort of provision that works best when it’s quiet, visible and easy to find. </w:t>
      </w:r>
      <w:hyperlink r:id="rId10">
        <w:r>
          <w:rPr>
            <w:color w:val="0000EE"/>
            <w:u w:val="single"/>
          </w:rPr>
          <w:t>[6]</w:t>
        </w:r>
      </w:hyperlink>
      <w:r>
        <w:t xml:space="preserve">, </w:t>
      </w:r>
      <w:hyperlink r:id="rId12">
        <w:r>
          <w:rPr>
            <w:color w:val="0000EE"/>
            <w:u w:val="single"/>
          </w:rPr>
          <w:t>[7]</w:t>
        </w:r>
      </w:hyperlink>
      <w:r/>
    </w:p>
    <w:p>
      <w:r/>
      <w:r>
        <w:t xml:space="preserve">Outdoor LGBTQ events, including Pride festivals, can also access state funding for security measures. With organisers facing increased concerns about anti-LGBTQ harassment and violence, assistance with stewards, barriers, lighting or other protections may help communities keep public celebrations welcoming rather than defensive. California’s recent LGBTQ agenda has increasingly combined civil rights with practical safety planning. </w:t>
      </w:r>
      <w:hyperlink r:id="rId14">
        <w:r>
          <w:rPr>
            <w:color w:val="0000EE"/>
            <w:u w:val="single"/>
          </w:rPr>
          <w:t>[2]</w:t>
        </w:r>
      </w:hyperlink>
      <w:r>
        <w:t xml:space="preserve">, </w:t>
      </w:r>
      <w:hyperlink r:id="rId9">
        <w:r>
          <w:rPr>
            <w:color w:val="0000EE"/>
            <w:u w:val="single"/>
          </w:rPr>
          <w:t>[4]</w:t>
        </w:r>
      </w:hyperlink>
      <w:r/>
    </w:p>
    <w:p>
      <w:r/>
      <w:r>
        <w:t>Taken together, the measures show a state trying to turn broad declarations of support into usable systems. The real test will be implementation: whether providers understand the rules, veterans can find the help and people feel safe enough to use these protections.</w:t>
      </w:r>
      <w:r/>
    </w:p>
    <w:p>
      <w:r/>
      <w:r>
        <w:t>Small pieces of policy can make everyday life safer, fairer and less exhausting.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4">
        <w:r>
          <w:rPr>
            <w:color w:val="0000EE"/>
            <w:u w:val="single"/>
          </w:rPr>
          <w:t>[2]</w:t>
        </w:r>
      </w:hyperlink>
      <w:r>
        <w:t xml:space="preserve">, </w:t>
      </w:r>
      <w:hyperlink r:id="rId9">
        <w:r>
          <w:rPr>
            <w:color w:val="0000EE"/>
            <w:u w:val="single"/>
          </w:rPr>
          <w:t>[4]</w:t>
        </w:r>
      </w:hyperlink>
      <w:r>
        <w:t xml:space="preserve">- Paragraph 2: </w:t>
      </w:r>
      <w:hyperlink r:id="rId9">
        <w:r>
          <w:rPr>
            <w:color w:val="0000EE"/>
            <w:u w:val="single"/>
          </w:rPr>
          <w:t>[4]</w:t>
        </w:r>
      </w:hyperlink>
      <w:r>
        <w:t xml:space="preserve">, </w:t>
      </w:r>
      <w:hyperlink r:id="rId10">
        <w:r>
          <w:rPr>
            <w:color w:val="0000EE"/>
            <w:u w:val="single"/>
          </w:rPr>
          <w:t>[6]</w:t>
        </w:r>
      </w:hyperlink>
      <w:r>
        <w:t xml:space="preserve">- Paragraph 3: </w:t>
      </w:r>
      <w:hyperlink r:id="rId11">
        <w:r>
          <w:rPr>
            <w:color w:val="0000EE"/>
            <w:u w:val="single"/>
          </w:rPr>
          <w:t>[5]</w:t>
        </w:r>
      </w:hyperlink>
      <w:r>
        <w:t xml:space="preserve">, </w:t>
      </w:r>
      <w:hyperlink r:id="rId12">
        <w:r>
          <w:rPr>
            <w:color w:val="0000EE"/>
            <w:u w:val="single"/>
          </w:rPr>
          <w:t>[7]</w:t>
        </w:r>
      </w:hyperlink>
      <w:r>
        <w:t xml:space="preserve">- Paragraph 4: </w:t>
      </w:r>
      <w:hyperlink r:id="rId13">
        <w:r>
          <w:rPr>
            <w:color w:val="0000EE"/>
            <w:u w:val="single"/>
          </w:rPr>
          <w:t>[3]</w:t>
        </w:r>
      </w:hyperlink>
      <w:r>
        <w:t xml:space="preserve">- Paragraph 5: </w:t>
      </w:r>
      <w:hyperlink r:id="rId9">
        <w:r>
          <w:rPr>
            <w:color w:val="0000EE"/>
            <w:u w:val="single"/>
          </w:rPr>
          <w:t>[4]</w:t>
        </w:r>
      </w:hyperlink>
      <w:r>
        <w:t xml:space="preserve">, </w:t>
      </w:r>
      <w:hyperlink r:id="rId10">
        <w:r>
          <w:rPr>
            <w:color w:val="0000EE"/>
            <w:u w:val="single"/>
          </w:rPr>
          <w:t>[6]</w:t>
        </w:r>
      </w:hyperlink>
      <w:r>
        <w:t xml:space="preserve">- Paragraph 6: </w:t>
      </w:r>
      <w:hyperlink r:id="rId12">
        <w:r>
          <w:rPr>
            <w:color w:val="0000EE"/>
            <w:u w:val="single"/>
          </w:rPr>
          <w:t>[7]</w:t>
        </w:r>
      </w:hyperlink>
      <w:r>
        <w:t xml:space="preserve">- Paragraph 7: </w:t>
      </w:r>
      <w:hyperlink r:id="rId13">
        <w:r>
          <w:rPr>
            <w:color w:val="0000EE"/>
            <w:u w:val="single"/>
          </w:rPr>
          <w:t>[3]</w:t>
        </w:r>
      </w:hyperlink>
      <w:r>
        <w:t xml:space="preserve">- Paragraph 8: </w:t>
      </w:r>
      <w:hyperlink r:id="rId13">
        <w:r>
          <w:rPr>
            <w:color w:val="0000EE"/>
            <w:u w:val="single"/>
          </w:rPr>
          <w:t>[3]</w:t>
        </w:r>
      </w:hyperlink>
      <w:r>
        <w:t xml:space="preserve">- Paragraph 9: </w:t>
      </w:r>
      <w:hyperlink r:id="rId10">
        <w:r>
          <w:rPr>
            <w:color w:val="0000EE"/>
            <w:u w:val="single"/>
          </w:rPr>
          <w:t>[6]</w:t>
        </w:r>
      </w:hyperlink>
      <w:r>
        <w:t xml:space="preserve">, </w:t>
      </w:r>
      <w:hyperlink r:id="rId12">
        <w:r>
          <w:rPr>
            <w:color w:val="0000EE"/>
            <w:u w:val="single"/>
          </w:rPr>
          <w:t>[7]</w:t>
        </w:r>
      </w:hyperlink>
      <w:r>
        <w:t xml:space="preserve">- Paragraph 10: </w:t>
      </w:r>
      <w:hyperlink r:id="rId14">
        <w:r>
          <w:rPr>
            <w:color w:val="0000EE"/>
            <w:u w:val="single"/>
          </w:rPr>
          <w:t>[2]</w:t>
        </w:r>
      </w:hyperlink>
      <w:r>
        <w:t xml:space="preserve">, </w:t>
      </w:r>
      <w:hyperlink r:id="rId9">
        <w:r>
          <w:rPr>
            <w:color w:val="0000EE"/>
            <w:u w:val="single"/>
          </w:rPr>
          <w:t>[4]</w:t>
        </w:r>
      </w:hyperlink>
      <w:r>
        <w:t xml:space="preserve">- Paragraph 11: </w:t>
      </w:r>
      <w:hyperlink r:id="rId14">
        <w:r>
          <w:rPr>
            <w:color w:val="0000EE"/>
            <w:u w:val="single"/>
          </w:rPr>
          <w:t>[2]</w:t>
        </w:r>
      </w:hyperlink>
      <w:r>
        <w:t xml:space="preserve">, </w:t>
      </w:r>
      <w:hyperlink r:id="rId9">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https://www.ebar.com/story/170660/</w:t>
        </w:r>
      </w:hyperlink>
      <w:r>
        <w:t xml:space="preserve"> - Please view link - unable to able to access data</w:t>
      </w:r>
      <w:r/>
    </w:p>
    <w:p>
      <w:pPr>
        <w:pStyle w:val="ListNumber"/>
        <w:spacing w:line="240" w:lineRule="auto"/>
        <w:ind w:left="720"/>
      </w:pPr>
      <w:r/>
      <w:hyperlink r:id="rId14">
        <w:r>
          <w:rPr>
            <w:color w:val="0000EE"/>
            <w:u w:val="single"/>
          </w:rPr>
          <w:t>https://www.gov.ca.gov/2024/06/01/governor-newsom-proclaims-lgbtq-pride-month-2/</w:t>
        </w:r>
      </w:hyperlink>
      <w:r>
        <w:t xml:space="preserve"> - On June 1, 2024, Governor Gavin Newsom issued a proclamation declaring June 2024 as 'LGBTQ+ Pride Month' in California. The proclamation emphasised the state's commitment to equality, acceptance, and freedom for all, highlighting the ongoing fight against discrimination and violence faced by the LGBTQ+ community. Newsom called for unity in confronting rising oppression and intolerance, ensuring safety and inclusion for all Californians. The rainbow flag was proudly raised over the State Capitol to symbolise this commitment.</w:t>
      </w:r>
      <w:r/>
    </w:p>
    <w:p>
      <w:pPr>
        <w:pStyle w:val="ListNumber"/>
        <w:spacing w:line="240" w:lineRule="auto"/>
        <w:ind w:left="720"/>
      </w:pPr>
      <w:r/>
      <w:hyperlink r:id="rId13">
        <w:r>
          <w:rPr>
            <w:color w:val="0000EE"/>
            <w:u w:val="single"/>
          </w:rPr>
          <w:t>https://www.insurance.ca.gov/0400-news/0100-press-releases/2024/release045-2024.cfm</w:t>
        </w:r>
      </w:hyperlink>
      <w:r>
        <w:t xml:space="preserve"> - On September 30, 2024, Insurance Commissioner Ricardo Lara announced that Governor Gavin Newsom had signed six bills into law, focusing on enhancing health and safety protections for California consumers. These laws aim to improve protections for vulnerable individuals, including women and LGBTQ+ families, disaster survivors, immigrants, and seniors. The legislation guarantees insurance coverage for fertility treatments, implements emergency disaster planning for LGBTQ+ youth, and protects reproductive health care without out-of-pocket expenses for consumers, among other measures.</w:t>
      </w:r>
      <w:r/>
    </w:p>
    <w:p>
      <w:pPr>
        <w:pStyle w:val="ListNumber"/>
        <w:spacing w:line="240" w:lineRule="auto"/>
        <w:ind w:left="720"/>
      </w:pPr>
      <w:r/>
      <w:hyperlink r:id="rId9">
        <w:r>
          <w:rPr>
            <w:color w:val="0000EE"/>
            <w:u w:val="single"/>
          </w:rPr>
          <w:t>https://www.gov.ca.gov/2020/09/26/governor-newsom-signs-legislation-strengthening-protections-for-lgbtq-californians/</w:t>
        </w:r>
      </w:hyperlink>
      <w:r>
        <w:t xml:space="preserve"> - On September 26, 2020, Governor Gavin Newsom signed legislation to strengthen protections for LGBTQ+ Californians. The new laws included SB 932, which ensures comprehensive data collection to understand how COVID-19 is impacting the LGBTQ+ community; AB 2218, establishing the Transgender Wellness and Equity Fund; and SB 132, requiring the California Department of Corrections and Rehabilitation to house transgender, gender-nonconforming, and intersex individuals according to their gender identity, focusing on health and safety.</w:t>
      </w:r>
      <w:r/>
    </w:p>
    <w:p>
      <w:pPr>
        <w:pStyle w:val="ListNumber"/>
        <w:spacing w:line="240" w:lineRule="auto"/>
        <w:ind w:left="720"/>
      </w:pPr>
      <w:r/>
      <w:hyperlink r:id="rId11">
        <w:r>
          <w:rPr>
            <w:color w:val="0000EE"/>
            <w:u w:val="single"/>
          </w:rPr>
          <w:t>https://www.gov.ca.gov/2024/07/02/governor-newsom-signs-legislation-7-2-24/</w:t>
        </w:r>
      </w:hyperlink>
      <w:r>
        <w:t xml:space="preserve"> - On July 2, 2024, Governor Gavin Newsom announced the signing of several bills, including AB 161 through AB 171, which cover various aspects of human services, developmental services, housing, public safety, and employment. These legislative actions reflect the governor's ongoing efforts to address a wide range of issues affecting Californians, from social services to public safety and employment opportunities.</w:t>
      </w:r>
      <w:r/>
    </w:p>
    <w:p>
      <w:pPr>
        <w:pStyle w:val="ListNumber"/>
        <w:spacing w:line="240" w:lineRule="auto"/>
        <w:ind w:left="720"/>
      </w:pPr>
      <w:r/>
      <w:hyperlink r:id="rId10">
        <w:r>
          <w:rPr>
            <w:color w:val="0000EE"/>
            <w:u w:val="single"/>
          </w:rPr>
          <w:t>https://www.gov.ca.gov/2023/09/23/governor-newsom-signs-legislation-supporting-lgbtq-californians/</w:t>
        </w:r>
      </w:hyperlink>
      <w:r>
        <w:t xml:space="preserve"> - On September 23, 2023, Governor Gavin Newsom signed legislation aimed at strengthening protections and support for LGBTQ+ Californians. The measures included AB 5, which sets implementation timelines for required LGBTQ+ cultural competency training by public school teachers and staff; SB 857, establishing an advisory task force to identify LGBTQ+ pupil needs statewide; and AB 223, requiring confidentiality for petitions for a change of gender and sex identifier by a minor.</w:t>
      </w:r>
      <w:r/>
    </w:p>
    <w:p>
      <w:pPr>
        <w:pStyle w:val="ListNumber"/>
        <w:spacing w:line="240" w:lineRule="auto"/>
        <w:ind w:left="720"/>
      </w:pPr>
      <w:r/>
      <w:hyperlink r:id="rId12">
        <w:r>
          <w:rPr>
            <w:color w:val="0000EE"/>
            <w:u w:val="single"/>
          </w:rPr>
          <w:t>https://www.gov.ca.gov/2023/09/13/governor-newsom-signs-legislation-9-13-23/</w:t>
        </w:r>
      </w:hyperlink>
      <w:r>
        <w:t xml:space="preserve"> - On September 13, 2023, Governor Gavin Newsom signed SB 447, which creates a new public awareness project to promote California's values of acceptance and inclusion of the LGBTQ+ community across the country. The bill also ends California's restriction on taxpayer-funded travel by state agencies and departments to states that have adopted discriminatory anti-LGBTQ+ laws, reinforcing the state's commitment to equality and inclusion.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ov.ca.gov/2020/09/26/governor-newsom-signs-legislation-strengthening-protections-for-lgbtq-californians/" TargetMode="External"/><Relationship Id="rId10" Type="http://schemas.openxmlformats.org/officeDocument/2006/relationships/hyperlink" Target="https://www.gov.ca.gov/2023/09/23/governor-newsom-signs-legislation-supporting-lgbtq-californians/" TargetMode="External"/><Relationship Id="rId11" Type="http://schemas.openxmlformats.org/officeDocument/2006/relationships/hyperlink" Target="https://www.gov.ca.gov/2024/07/02/governor-newsom-signs-legislation-7-2-24/" TargetMode="External"/><Relationship Id="rId12" Type="http://schemas.openxmlformats.org/officeDocument/2006/relationships/hyperlink" Target="https://www.gov.ca.gov/2023/09/13/governor-newsom-signs-legislation-9-13-23/" TargetMode="External"/><Relationship Id="rId13" Type="http://schemas.openxmlformats.org/officeDocument/2006/relationships/hyperlink" Target="https://www.insurance.ca.gov/0400-news/0100-press-releases/2024/release045-2024.cfm" TargetMode="External"/><Relationship Id="rId14" Type="http://schemas.openxmlformats.org/officeDocument/2006/relationships/hyperlink" Target="https://www.gov.ca.gov/2024/06/01/governor-newsom-proclaims-lgbtq-pride-month-2/" TargetMode="External"/><Relationship Id="rId15" Type="http://schemas.openxmlformats.org/officeDocument/2006/relationships/hyperlink" Target="https://www.ebar.com/story/17066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