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Indonesia Labels LGBTQ+ Culture a Non-Military State Threat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Indonesia has formally placed the “spread of LGBTQ+ culture” inside its national defence framework, prompting human-rights groups to warn that the move could deepen discrimination, chill open discussion and put queer and trans people under greater pressure across the country.</w:t>
      </w:r>
      <w:r/>
    </w:p>
    <w:p>
      <w:pPr>
        <w:pStyle w:val="Heading2"/>
      </w:pPr>
      <w:r>
        <w:t>Essential Takeaways</w:t>
      </w:r>
      <w:r/>
      <w:r/>
    </w:p>
    <w:p>
      <w:pPr>
        <w:pStyle w:val="ListBullet"/>
        <w:spacing w:line="240" w:lineRule="auto"/>
        <w:ind w:left="720"/>
      </w:pPr>
      <w:r/>
      <w:r>
        <w:rPr>
          <w:b/>
        </w:rPr>
        <w:t>New defence policy:</w:t>
      </w:r>
      <w:r>
        <w:t xml:space="preserve"> Presidential Regulation No. 111 of 2025 lists LGBTQ+ culture among social and cultural threats.</w:t>
      </w:r>
      <w:r/>
    </w:p>
    <w:p>
      <w:pPr>
        <w:pStyle w:val="ListBullet"/>
        <w:spacing w:line="240" w:lineRule="auto"/>
        <w:ind w:left="720"/>
      </w:pPr>
      <w:r/>
      <w:r>
        <w:rPr>
          <w:b/>
        </w:rPr>
        <w:t>Rights groups object:</w:t>
      </w:r>
      <w:r>
        <w:t xml:space="preserve"> Amnesty International says the wording could legitimise discrimination and harassment.</w:t>
      </w:r>
      <w:r/>
    </w:p>
    <w:p>
      <w:pPr>
        <w:pStyle w:val="ListBullet"/>
        <w:spacing w:line="240" w:lineRule="auto"/>
        <w:ind w:left="720"/>
      </w:pPr>
      <w:r/>
      <w:r>
        <w:rPr>
          <w:b/>
        </w:rPr>
        <w:t>Academic debate affected:</w:t>
      </w:r>
      <w:r>
        <w:t xml:space="preserve"> A University of Indonesia Pride Month post was removed after public criticism.</w:t>
      </w:r>
      <w:r/>
    </w:p>
    <w:p>
      <w:pPr>
        <w:pStyle w:val="ListBullet"/>
        <w:spacing w:line="240" w:lineRule="auto"/>
        <w:ind w:left="720"/>
      </w:pPr>
      <w:r/>
      <w:r>
        <w:rPr>
          <w:b/>
        </w:rPr>
        <w:t>Legal pressure remains uneven:</w:t>
      </w:r>
      <w:r>
        <w:t xml:space="preserve"> Aceh criminalises consensual same-sex activity, while regional rules vary widely.</w:t>
      </w:r>
      <w:r/>
    </w:p>
    <w:p>
      <w:pPr>
        <w:pStyle w:val="ListBullet"/>
        <w:spacing w:line="240" w:lineRule="auto"/>
        <w:ind w:left="720"/>
      </w:pPr>
      <w:r/>
      <w:r>
        <w:rPr>
          <w:b/>
        </w:rPr>
        <w:t>A wider concern:</w:t>
      </w:r>
      <w:r>
        <w:t xml:space="preserve"> Activists fear the policy's message may matter as much as its legal effect.</w:t>
      </w:r>
      <w:r/>
      <w:r/>
    </w:p>
    <w:p>
      <w:pPr>
        <w:pStyle w:val="Heading2"/>
      </w:pPr>
      <w:r>
        <w:t>A striking shift in Indonesia's official language</w:t>
      </w:r>
      <w:r/>
    </w:p>
    <w:p>
      <w:r/>
      <w:r>
        <w:t>The most alarming detail is the company this policy keeps. Indonesia's 2025-2029 national defence regulation places the “spread of LGBTQ+ culture” alongside terrorism, radicalism, human trafficking and drug abuse.</w:t>
      </w:r>
      <w:r/>
    </w:p>
    <w:p>
      <w:r/>
      <w:r>
        <w:t>That doesn't create a new offence by itself, but it changes the tone from social disagreement to state security. As the Library of Congress reported, Presidential Regulation No. 111 of 2025 formally identifies the issue as a non-military threat, giving the phrase an official place in national policy.</w:t>
      </w:r>
      <w:r/>
    </w:p>
    <w:p>
      <w:r/>
      <w:r>
        <w:t>For LGBTQ+ Indonesians, that distinction may feel academic. A label used in a defence document can travel quickly into public debate, school policy and institutional decision-making, especially when political and religious campaigning is already intensifying.</w:t>
      </w:r>
      <w:r/>
    </w:p>
    <w:p>
      <w:pPr>
        <w:pStyle w:val="Heading2"/>
      </w:pPr>
      <w:r>
        <w:t>Why rights groups say the wording matters</w:t>
      </w:r>
      <w:r/>
    </w:p>
    <w:p>
      <w:r/>
      <w:r>
        <w:t>Amnesty International Indonesia has called for the regulation to be withdrawn, warning that it could institutionalise discrimination against people who are already vulnerable. The organisation argues that treating LGBTQ+ visibility as a threat may encourage both officials and private citizens to see queer people as a problem to be managed.</w:t>
      </w:r>
      <w:r/>
    </w:p>
    <w:p>
      <w:r/>
      <w:r>
        <w:t>That concern isn't abstract. Amnesty has separately condemned the caning of gay men in Aceh, describing the punishment as cruel and discriminatory. Aceh's local Sharia criminal code permits penalties for consensual same-sex activity, underlining how sharply legal protections can differ from one part of Indonesia to another.</w:t>
      </w:r>
      <w:r/>
    </w:p>
    <w:p>
      <w:r/>
      <w:r>
        <w:t>The wider picture is therefore grimly familiar: even where a national policy doesn't directly introduce a new punishment, it can make existing hostility feel more official. That's the chilling effect campaigners are worried about.</w:t>
      </w:r>
      <w:r/>
    </w:p>
    <w:p>
      <w:pPr>
        <w:pStyle w:val="Heading2"/>
      </w:pPr>
      <w:r>
        <w:t>A university Pride post became a flashpoint</w:t>
      </w:r>
      <w:r/>
    </w:p>
    <w:p>
      <w:r/>
      <w:r>
        <w:t>The debate moved from government paperwork to campus life during Pride Month, when a student organisation at the University of Indonesia's Faculty of Psychology shared information stating that homosexuality isn't a mental disorder.</w:t>
      </w:r>
      <w:r/>
    </w:p>
    <w:p>
      <w:r/>
      <w:r>
        <w:t>That position reflects established international medical and psychological consensus. Yet the post triggered a backlash, and the university later said it didn't represent the institution's official view before the material was removed.</w:t>
      </w:r>
      <w:r/>
    </w:p>
    <w:p>
      <w:r/>
      <w:r>
        <w:t>According to Amnesty's Indonesian branch, the episode shows how a national-security framing can discourage evidence-based discussion. If a basic statement about sexual orientation is treated as politically dangerous, students and academics may reasonably wonder what can be said safely next.</w:t>
      </w:r>
      <w:r/>
    </w:p>
    <w:p>
      <w:pPr>
        <w:pStyle w:val="Heading2"/>
      </w:pPr>
      <w:r>
        <w:t>Indonesia's legal landscape is already complicated</w:t>
      </w:r>
      <w:r/>
    </w:p>
    <w:p>
      <w:r/>
      <w:r>
        <w:t>National protection against discrimination based on sexual orientation or gender identity remains limited. Reports cited by human-rights groups identify multiple national measures and dozens of regional regulations that discriminate against LGBTQ+ people.</w:t>
      </w:r>
      <w:r/>
    </w:p>
    <w:p>
      <w:r/>
      <w:r>
        <w:t>The country's new Criminal Code, which took effect in January 2026, also criminalises sex outside marriage in certain circumstances. Because same-sex couples can't legally marry in Indonesia, rights organisations have warned that these provisions could affect LGBTQ+ people disproportionately.</w:t>
      </w:r>
      <w:r/>
    </w:p>
    <w:p>
      <w:r/>
      <w:r>
        <w:t>The result is a patchwork rather than a single national experience. A person's safety and freedom can depend heavily on where they live, whether local authorities are hostile, and whether public visibility attracts unwanted attention.</w:t>
      </w:r>
      <w:r/>
    </w:p>
    <w:p>
      <w:pPr>
        <w:pStyle w:val="Heading2"/>
      </w:pPr>
      <w:r>
        <w:t>What happens next?</w:t>
      </w:r>
      <w:r/>
    </w:p>
    <w:p>
      <w:r/>
      <w:r>
        <w:t>The regulation's critics are also watching proposals from the Indonesian Ulema Council, or MUI, which has discussed an academic paper and draft legislation targeting what it calls the promotion of LGBT behaviour. The proposal isn't law, but its existence adds another layer of uncertainty.</w:t>
      </w:r>
      <w:r/>
    </w:p>
    <w:p>
      <w:r/>
      <w:r>
        <w:t>Amnesty has urged the government to protect freedom of expression and association instead of treating advocacy as a public danger. Meanwhile, reports of harassment affecting LGBTQ+ university students suggest that the pressure is already being felt beyond formal legislation.</w:t>
      </w:r>
      <w:r/>
    </w:p>
    <w:p>
      <w:r/>
      <w:r>
        <w:t>For Australians, the issue is particularly close geographically. Indonesia is one of Australia's nearest neighbours, making developments there relevant not only to regional diplomacy but also to travellers, students, businesses and LGBTQ+ people with family or community links in the country.</w:t>
      </w:r>
      <w:r/>
    </w:p>
    <w:p>
      <w:r/>
      <w:r>
        <w:t>The central question is less about whether the regulation immediately changes every person's legal position. It's about what institutions, politicians and members of the public think the language gives them permission to do.</w:t>
      </w:r>
      <w:r/>
    </w:p>
    <w:p>
      <w:r/>
      <w:r>
        <w:t>A state label can be powerful, even before a new law is passed.</w:t>
      </w:r>
      <w:r/>
    </w:p>
    <w:p>
      <w:pPr>
        <w:pStyle w:val="Heading2"/>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[6]</w:t>
        </w:r>
      </w:hyperlink>
      <w:r>
        <w:t xml:space="preserve">- Paragraph 5: </w:t>
      </w:r>
      <w:hyperlink r:id="rId12">
        <w:r>
          <w:rPr>
            <w:color w:val="0000EE"/>
            <w:u w:val="single"/>
          </w:rPr>
          <w:t>[3]</w:t>
        </w:r>
      </w:hyperlink>
      <w:r>
        <w:t xml:space="preserve">, </w:t>
      </w:r>
      <w:hyperlink r:id="rId13">
        <w:r>
          <w:rPr>
            <w:color w:val="0000EE"/>
            <w:u w:val="single"/>
          </w:rPr>
          <w:t>[4]</w:t>
        </w:r>
      </w:hyperlink>
      <w:r>
        <w:t xml:space="preserve">- Paragraph 6: </w:t>
      </w:r>
      <w:hyperlink r:id="rId11">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4">
        <w:r>
          <w:rPr>
            <w:color w:val="0000EE"/>
            <w:u w:val="single"/>
          </w:rPr>
          <w:t>[5]</w:t>
        </w:r>
      </w:hyperlink>
      <w:r>
        <w:t xml:space="preserve">- Paragraph 8: </w:t>
      </w:r>
      <w:hyperlink r:id="rId12">
        <w:r>
          <w:rPr>
            <w:color w:val="0000EE"/>
            <w:u w:val="single"/>
          </w:rPr>
          <w:t>[3]</w:t>
        </w:r>
      </w:hyperlink>
      <w:r>
        <w:t xml:space="preserve">, </w:t>
      </w:r>
      <w:hyperlink r:id="rId13">
        <w:r>
          <w:rPr>
            <w:color w:val="0000EE"/>
            <w:u w:val="single"/>
          </w:rPr>
          <w:t>[4]</w:t>
        </w:r>
      </w:hyperlink>
      <w:r>
        <w:t xml:space="preserve">- Paragraph 9: </w:t>
      </w:r>
      <w:hyperlink r:id="rId14">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[6]</w:t>
        </w:r>
      </w:hyperlink>
      <w:r>
        <w:t xml:space="preserve">- Paragraph 11: </w:t>
      </w:r>
      <w:hyperlink r:id="rId12">
        <w:r>
          <w:rPr>
            <w:color w:val="0000EE"/>
            <w:u w:val="single"/>
          </w:rPr>
          <w:t>[3]</w:t>
        </w:r>
      </w:hyperlink>
      <w:r>
        <w:t xml:space="preserve">, </w:t>
      </w:r>
      <w:hyperlink r:id="rId13">
        <w:r>
          <w:rPr>
            <w:color w:val="0000EE"/>
            <w:u w:val="single"/>
          </w:rPr>
          <w:t>[4]</w:t>
        </w:r>
      </w:hyperlink>
      <w:r>
        <w:t xml:space="preserve">- Paragraph 12: </w:t>
      </w:r>
      <w:hyperlink r:id="rId14">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https://gayexpress.co.nz/2026/09/indonesia-labels-spread-of-lgbtq-culture-a-non-military-threat/?utm_source=rss&amp;utm_medium=rss&amp;utm_campaign=indonesia-labels-spread-of-lgbtq-culture-a-non-military-threat</w:t>
        </w:r>
      </w:hyperlink>
      <w:r>
        <w:t xml:space="preserve"> - Please view link - unable to able to access data</w:t>
      </w:r>
      <w:r/>
    </w:p>
    <w:p>
      <w:pPr>
        <w:pStyle w:val="ListNumber"/>
        <w:spacing w:line="240" w:lineRule="auto"/>
        <w:ind w:left="720"/>
      </w:pPr>
      <w:r/>
      <w:hyperlink r:id="rId10">
        <w:r>
          <w:rPr>
            <w:color w:val="0000EE"/>
            <w:u w:val="single"/>
          </w:rPr>
          <w:t>https://www.loc.gov/item/global-legal-monitor/2026-07-27/indonesia-presidential-regulation-designates-spread-of-lgbtq-culture-as-nonmilitary-state-threat/</w:t>
        </w:r>
      </w:hyperlink>
      <w:r>
        <w:t xml:space="preserve"> - In July 2026, the Library of Congress reported that Indonesian President Prabowo Subianto signed Presidential Regulation No. 111 of 2025, designating the dissemination of LGBTQ culture as a non-military state threat. This regulation categorises such cultural spread alongside issues like terrorism and radicalism, sparking criticism from human rights groups who argue it institutionalises discrimination against LGBTQ individuals. The regulation has been in effect since October 2025, but gained wider attention in 2026 amid intensified anti-LGBTQ+ campaigns in Indonesia. The move has raised concerns about potential increased harassment and discrimination against LGBTQ communities.</w:t>
      </w:r>
      <w:r/>
    </w:p>
    <w:p>
      <w:pPr>
        <w:pStyle w:val="ListNumber"/>
        <w:spacing w:line="240" w:lineRule="auto"/>
        <w:ind w:left="720"/>
      </w:pPr>
      <w:r/>
      <w:hyperlink r:id="rId12">
        <w:r>
          <w:rPr>
            <w:color w:val="0000EE"/>
            <w:u w:val="single"/>
          </w:rPr>
          <w:t>https://www.amnesty.org/en/latest/news/2025/08/indonesia-caning-of-gay-men-an-act-of-cruelty/</w:t>
        </w:r>
      </w:hyperlink>
      <w:r>
        <w:t xml:space="preserve"> - In August 2025, Amnesty International condemned the public flogging of two men in Banda Aceh for consensual same-sex relations. The organisation described the punishment as a 'disturbing act of state-sanctioned discrimination and cruelty,' highlighting the institutionalised stigma faced by LGBTQ+ individuals in Aceh. Amnesty called for the immediate halt of such practices and the repeal of discriminatory bylaws, emphasising that consensual same-sex activity should never be criminalised and that corporal punishment may amount to torture under international law.</w:t>
      </w:r>
      <w:r/>
    </w:p>
    <w:p>
      <w:pPr>
        <w:pStyle w:val="ListNumber"/>
        <w:spacing w:line="240" w:lineRule="auto"/>
        <w:ind w:left="720"/>
      </w:pPr>
      <w:r/>
      <w:hyperlink r:id="rId13">
        <w:r>
          <w:rPr>
            <w:color w:val="0000EE"/>
            <w:u w:val="single"/>
          </w:rPr>
          <w:t>https://www.amnesty.org/en/latest/news/2025/02/indonesia-flogging-of-gay-men-a-horrifying-act-of-discrimination/</w:t>
        </w:r>
      </w:hyperlink>
      <w:r>
        <w:t xml:space="preserve"> - In February 2025, Amnesty International condemned the flogging of two university students in Aceh province for consensual same-sex relations. The organisation described the punishment as a 'horrifying act of discrimination,' emphasising that consensual same-sex activity should never be criminalised. Amnesty called for the immediate halt of such practices and the repeal of discriminatory bylaws, stating that corporal punishment is cruel, inhuman, and degrading, and may amount to torture under international law.</w:t>
      </w:r>
      <w:r/>
    </w:p>
    <w:p>
      <w:pPr>
        <w:pStyle w:val="ListNumber"/>
        <w:spacing w:line="240" w:lineRule="auto"/>
        <w:ind w:left="720"/>
      </w:pPr>
      <w:r/>
      <w:hyperlink r:id="rId14">
        <w:r>
          <w:rPr>
            <w:color w:val="0000EE"/>
            <w:u w:val="single"/>
          </w:rPr>
          <w:t>https://voi.id/en/news/583332</w:t>
        </w:r>
      </w:hyperlink>
      <w:r>
        <w:t xml:space="preserve"> - In July 2026, Indonesian news outlet VOI reported that President Prabowo Subianto signed Presidential Regulation No. 111 of 2025, categorising the spread of LGBTQ culture as a non-military threat. The regulation, effective from October 2025, defines non-military threats as unarmed efforts or activities that endanger state sovereignty, territorial integrity, and national safety. This move has attracted criticism from human rights groups, who argue it institutionalises discrimination against LGBTQ individuals and could lead to increased harassment and discrimination.</w:t>
      </w:r>
      <w:r/>
    </w:p>
    <w:p>
      <w:pPr>
        <w:pStyle w:val="ListNumber"/>
        <w:spacing w:line="240" w:lineRule="auto"/>
        <w:ind w:left="720"/>
      </w:pPr>
      <w:r/>
      <w:hyperlink r:id="rId11">
        <w:r>
          <w:rPr>
            <w:color w:val="0000EE"/>
            <w:u w:val="single"/>
          </w:rPr>
          <w:t>https://www.amnesty.id/kabar-terbaru/siaran-pers/indonesia-president-designates-spread-of-lgbtq-lgbtqi-culture-as-nonmilitary-threat/07/2026/</w:t>
        </w:r>
      </w:hyperlink>
      <w:r>
        <w:t xml:space="preserve"> - In July 2026, Amnesty International Indonesia's executive director Usman Hamid expressed profound concern over Presidential Regulation No. 111 of 2025, which classifies the spread of LGBTQI+ culture as a non-military threat. Hamid stated that this regulation institutionalises systematic discrimination against already marginalised people and fosters an environment where LGBTQI+ persons are highly susceptible to immediate threat, discrimination, and harassment by both state and non-state actors. Amnesty called for the immediate repeal of the regulation and the protection of human rights.</w:t>
      </w:r>
      <w:r/>
    </w:p>
    <w:p>
      <w:pPr>
        <w:pStyle w:val="ListNumber"/>
        <w:spacing w:line="240" w:lineRule="auto"/>
        <w:ind w:left="720"/>
      </w:pPr>
      <w:r/>
      <w:hyperlink r:id="rId15">
        <w:r>
          <w:rPr>
            <w:color w:val="0000EE"/>
            <w:u w:val="single"/>
          </w:rPr>
          <w:t>https://jawawa.id/newsitem/prabowo-designates-lgbtq-culture-as-non-military-threat-via-presidential-regulation-111-2025-1783255969</w:t>
        </w:r>
      </w:hyperlink>
      <w:r>
        <w:t xml:space="preserve"> - In July 2026, Indonesian news outlet Jawawa reported that President Prabowo Subianto signed Presidential Regulation No. 111 of 2025, designating the spread of LGBTQ culture as a non-military threat. The regulation, effective from October 2025, categorises threats to national defence into military, non-military, and hybrid threats. Non-military threats are defined as unarmed efforts or activities that endanger state sovereignty, territorial integrity, and national safety. This move has been criticised by human rights groups for potentially legitimising discrimination against LGBTQ individuals.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express.co.nz/2026/09/indonesia-labels-spread-of-lgbtq-culture-a-non-military-threat/?utm_source=rss&amp;utm_medium=rss&amp;utm_campaign=indonesia-labels-spread-of-lgbtq-culture-a-non-military-threat" TargetMode="External"/><Relationship Id="rId10" Type="http://schemas.openxmlformats.org/officeDocument/2006/relationships/hyperlink" Target="https://www.loc.gov/item/global-legal-monitor/2026-07-27/indonesia-presidential-regulation-designates-spread-of-lgbtq-culture-as-nonmilitary-state-threat/" TargetMode="External"/><Relationship Id="rId11" Type="http://schemas.openxmlformats.org/officeDocument/2006/relationships/hyperlink" Target="https://www.amnesty.id/kabar-terbaru/siaran-pers/indonesia-president-designates-spread-of-lgbtq-lgbtqi-culture-as-nonmilitary-threat/07/2026/" TargetMode="External"/><Relationship Id="rId12" Type="http://schemas.openxmlformats.org/officeDocument/2006/relationships/hyperlink" Target="https://www.amnesty.org/en/latest/news/2025/08/indonesia-caning-of-gay-men-an-act-of-cruelty/" TargetMode="External"/><Relationship Id="rId13" Type="http://schemas.openxmlformats.org/officeDocument/2006/relationships/hyperlink" Target="https://www.amnesty.org/en/latest/news/2025/02/indonesia-flogging-of-gay-men-a-horrifying-act-of-discrimination/" TargetMode="External"/><Relationship Id="rId14" Type="http://schemas.openxmlformats.org/officeDocument/2006/relationships/hyperlink" Target="https://voi.id/en/news/583332" TargetMode="External"/><Relationship Id="rId15" Type="http://schemas.openxmlformats.org/officeDocument/2006/relationships/hyperlink" Target="https://jawawa.id/newsitem/prabowo-designates-lgbtq-culture-as-non-military-threat-via-presidential-regulation-111-2025-178325596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