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Britain’s Conversion Therapy Debate Needs Trauma-Safe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and survivors are urging Britain to ban conversion practices, while critics warn that poorly defined laws could chill legitimate trauma-informed support. With the Government weighing criminal and civil measures, the central question is how to protect LGBT people from coercion without stopping vulnerable adults from discussing abuse, identity and sexuality with trusted professionals.</w:t>
      </w:r>
      <w:r/>
    </w:p>
    <w:p>
      <w:pPr>
        <w:pStyle w:val="Heading2"/>
      </w:pPr>
      <w:r>
        <w:t>Essential Takeaways</w:t>
      </w:r>
      <w:r/>
      <w:r/>
    </w:p>
    <w:p>
      <w:pPr>
        <w:pStyle w:val="ListBullet"/>
        <w:spacing w:line="240" w:lineRule="auto"/>
        <w:ind w:left="720"/>
      </w:pPr>
      <w:r/>
      <w:r>
        <w:rPr>
          <w:b/>
        </w:rPr>
        <w:t>Conversion practices are widely reported:</w:t>
      </w:r>
      <w:r>
        <w:t xml:space="preserve"> Research from Galop and Stonewall describes coercive efforts to change or suppress LGBT people’s sexual orientation or gender identity.</w:t>
      </w:r>
      <w:r/>
    </w:p>
    <w:p>
      <w:pPr>
        <w:pStyle w:val="ListBullet"/>
        <w:spacing w:line="240" w:lineRule="auto"/>
        <w:ind w:left="720"/>
      </w:pPr>
      <w:r/>
      <w:r>
        <w:rPr>
          <w:b/>
        </w:rPr>
        <w:t>Survivors often report lasting harm:</w:t>
      </w:r>
      <w:r>
        <w:t xml:space="preserve"> Accounts include shame, anxiety, isolation and damage to trust in families, faith groups and professionals.</w:t>
      </w:r>
      <w:r/>
    </w:p>
    <w:p>
      <w:pPr>
        <w:pStyle w:val="ListBullet"/>
        <w:spacing w:line="240" w:lineRule="auto"/>
        <w:ind w:left="720"/>
      </w:pPr>
      <w:r/>
      <w:r>
        <w:rPr>
          <w:b/>
        </w:rPr>
        <w:t>Trauma care needs care itself:</w:t>
      </w:r>
      <w:r>
        <w:t xml:space="preserve"> Practitioners must separate evidence-based support from pressure to change someone’s identity.</w:t>
      </w:r>
      <w:r/>
    </w:p>
    <w:p>
      <w:pPr>
        <w:pStyle w:val="ListBullet"/>
        <w:spacing w:line="240" w:lineRule="auto"/>
        <w:ind w:left="720"/>
      </w:pPr>
      <w:r/>
      <w:r>
        <w:rPr>
          <w:b/>
        </w:rPr>
        <w:t>The legal wording matters:</w:t>
      </w:r>
      <w:r>
        <w:t xml:space="preserve"> The Government’s consultation responses show strong support for action, but also concern about scope, consent and legitimate counselling.</w:t>
      </w:r>
      <w:r/>
    </w:p>
    <w:p>
      <w:pPr>
        <w:pStyle w:val="ListBullet"/>
        <w:spacing w:line="240" w:lineRule="auto"/>
        <w:ind w:left="720"/>
      </w:pPr>
      <w:r/>
      <w:r>
        <w:rPr>
          <w:b/>
        </w:rPr>
        <w:t>Clear safeguards are essential:</w:t>
      </w:r>
      <w:r>
        <w:t xml:space="preserve"> Any law should target coercion, abuse and exploitation while preserving safe, person-led mental-health treatment.</w:t>
      </w:r>
      <w:r/>
      <w:r/>
    </w:p>
    <w:p>
      <w:pPr>
        <w:pStyle w:val="Heading2"/>
      </w:pPr>
      <w:r>
        <w:t>The argument is no longer just political</w:t>
      </w:r>
      <w:r/>
    </w:p>
    <w:p>
      <w:r/>
      <w:r>
        <w:t>Britain’s conversion therapy debate has moved beyond slogans and into the uncomfortable detail of what happens in a counselling room. On one side are survivors and campaigners who describe attempts to alter sexual orientation or gender identity as degrading, coercive and deeply damaging. On the other are people who fear that a broad offence could make ordinary conversations about faith, trauma or identity legally risky.</w:t>
      </w:r>
      <w:r/>
    </w:p>
    <w:p>
      <w:r/>
      <w:r>
        <w:t>That tension deserves more than a tidy headline. Galop’s research says nearly one in five LGBT people surveyed had experienced conversion practices, while its survivor reports describe experiences ranging from religious pressure and counselling to threats, isolation and sexual violence. The stories have a bruising common thread: people were treated as problems to solve rather than individuals to support. (Galop, Stonewall)</w:t>
      </w:r>
      <w:r/>
    </w:p>
    <w:p>
      <w:r/>
      <w:r>
        <w:t>The strongest case for legislation is therefore straightforward. Nobody should be bullied, threatened or manipulated into changing who they are. The more difficult task is writing rules that capture those abuses without turning every discussion about sexuality, gender or personal history into a legal minefield.</w:t>
      </w:r>
      <w:r/>
    </w:p>
    <w:p>
      <w:pPr>
        <w:pStyle w:val="Heading2"/>
      </w:pPr>
      <w:r>
        <w:t>What survivors say conversion practices look like</w:t>
      </w:r>
      <w:r/>
    </w:p>
    <w:p>
      <w:r/>
      <w:r>
        <w:t>Conversion practices aren't confined to one setting. According to Galop, LGBT people have encountered them in religious communities, healthcare, family environments and informal networks. Some reported prayer or counselling, while others described threats, punishment, forced relationships and sexual violence.</w:t>
      </w:r>
      <w:r/>
    </w:p>
    <w:p>
      <w:r/>
      <w:r>
        <w:t>That variety matters because harm isn't always delivered with an obvious menace. A person may appear to agree while facing financial dependence, family pressure or the prospect of being rejected by their community. A supposedly voluntary conversation can become coercive when the message is that acceptance, housing or affection depends on changing identity. (Galop)</w:t>
      </w:r>
      <w:r/>
    </w:p>
    <w:p>
      <w:r/>
      <w:r>
        <w:t>Galop's research on sexual violence is especially stark. It records reports of sexual assault being used to punish or supposedly alter LGBT people, showing why the debate can't be reduced to a disagreement between competing therapies. Where violence, intimidation or exploitation is involved, the priority is protection and accountability, not semantic wrangling. (Galop)</w:t>
      </w:r>
      <w:r/>
    </w:p>
    <w:p>
      <w:pPr>
        <w:pStyle w:val="Heading2"/>
      </w:pPr>
      <w:r>
        <w:t>Why trauma and identity need careful separation</w:t>
      </w:r>
      <w:r/>
    </w:p>
    <w:p>
      <w:r/>
      <w:r>
        <w:t>Trauma can affect intimacy, self-image, relationships and emotional regulation. A good therapist can help someone understand those effects without assuming that their sexual orientation or gender identity is itself an illness. That distinction should be the starting point for any responsible policy.</w:t>
      </w:r>
      <w:r/>
    </w:p>
    <w:p>
      <w:r/>
      <w:r>
        <w:t>The danger comes when a practitioner quietly treats identity as evidence of damage, then steers a client towards a prescribed outcome. Stonewall says conversion practices can include efforts to change or suppress sexual orientation or gender identity, whether through counselling, religious instruction or other interventions. The setting may look calm, but the underlying message can still be profoundly coercive. (Stonewall)</w:t>
      </w:r>
      <w:r/>
    </w:p>
    <w:p>
      <w:r/>
      <w:r>
        <w:t>At the same time, a survivor should be able to discuss abuse and its consequences openly. They may want to explore shame, relationships or sexual feelings without being told what conclusion to reach. Person-led therapy doesn't promise a particular identity outcome; it gives the client room to understand their experience safely.</w:t>
      </w:r>
      <w:r/>
    </w:p>
    <w:p>
      <w:pPr>
        <w:pStyle w:val="Heading2"/>
      </w:pPr>
      <w:r>
        <w:t>The Government faces a drafting dilemma</w:t>
      </w:r>
      <w:r/>
    </w:p>
    <w:p>
      <w:r/>
      <w:r>
        <w:t>The Government's consultation on banning conversion therapy drew significant support for legal action. Its published analysis also shows that respondents raised questions about definitions, consent, freedom of expression, religious practice and the relationship between a new offence and existing criminal law. Those aren't technical footnotes. They determine who is protected and who may be deterred from seeking help. (UK Government)</w:t>
      </w:r>
      <w:r/>
    </w:p>
    <w:p>
      <w:r/>
      <w:r>
        <w:t>A carefully framed law could focus on coercive conduct, serious harm, abuse of power and repeated attempts to impose change. It could also recognise that a person asking for help with distress isn't automatically asking to alter their identity. Clear professional standards, independent complaints routes and strong enforcement may do more practical good than a sweeping phrase that leaves therapists guessing.</w:t>
      </w:r>
      <w:r/>
    </w:p>
    <w:p>
      <w:r/>
      <w:r>
        <w:t>This is where the Australian experience, as presented by the lead commentary, becomes part of the British argument. Supporters of tighter laws say firm prohibitions are necessary because harmful practices can hide behind spiritual or therapeutic language. Critics fear overreach. Britain should examine both claims, rather than importing either a slogan or a statute wholesale.</w:t>
      </w:r>
      <w:r/>
    </w:p>
    <w:p>
      <w:pPr>
        <w:pStyle w:val="Heading2"/>
      </w:pPr>
      <w:r>
        <w:t>What safer support should look like</w:t>
      </w:r>
      <w:r/>
    </w:p>
    <w:p>
      <w:r/>
      <w:r>
        <w:t>For anyone seeking therapy after abuse, the first test is simple: can you set the agenda? A trustworthy practitioner should explain their approach, avoid promising identity change and welcome questions about qualifications, confidentiality and safeguarding. They should also be willing to refer you elsewhere if your needs fall outside their expertise.</w:t>
      </w:r>
      <w:r/>
    </w:p>
    <w:p>
      <w:r/>
      <w:r>
        <w:t>Warning signs include claims of guaranteed transformation, pressure to sever supportive relationships, demands for secrecy and language that presents an LGBT identity as proof of moral or psychological failure. Galop's survivor accounts show how isolation can magnify harm, so a service that discourages independent support deserves particular caution. (Galop)</w:t>
      </w:r>
      <w:r/>
    </w:p>
    <w:p>
      <w:r/>
      <w:r>
        <w:t>Professionals, meanwhile, need room to ask sensitive questions without making assumptions. That means discussing trauma, faith, sex and identity in neutral, respectful language, while recording consent and responding promptly to signs of coercion or abuse. It sounds basic, but good safeguarding often lives in these quiet details.</w:t>
      </w:r>
      <w:r/>
    </w:p>
    <w:p>
      <w:pPr>
        <w:pStyle w:val="Heading2"/>
      </w:pPr>
      <w:r>
        <w:t>A ban should protect freedom, not narrow it</w:t>
      </w:r>
      <w:r/>
    </w:p>
    <w:p>
      <w:r/>
      <w:r>
        <w:t>The public mood is understandably impatient. After years of testimony, campaigners want action, and survivors shouldn't have to wait indefinitely while harmful practices continue. Yet a law that is vague enough to frighten people away from legitimate support could create a different kind of silence.</w:t>
      </w:r>
      <w:r/>
    </w:p>
    <w:p>
      <w:r/>
      <w:r>
        <w:t>The best approach is neither blanket suspicion nor blind trust. It is a firm boundary around coercion, deception, violence and exploitation, paired with properly regulated, evidence-based care for people exploring distress or trauma. Consultation evidence suggests that the Government has heard a strong demand for protection; the next test is whether the final framework is precise enough to deliver it. (UK Government)</w:t>
      </w:r>
      <w:r/>
    </w:p>
    <w:p>
      <w:r/>
      <w:r>
        <w:t>People seeking help deserve something more useful than a culture-war battlefield. They deserve a quiet room, an informed professional and the freedom to decide who they are.</w:t>
      </w:r>
      <w:r/>
    </w:p>
    <w:p>
      <w:r/>
      <w:r>
        <w:t>A strong ban should stop coercion while keeping compassionate, person-led therapy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15">
        <w:r>
          <w:rPr>
            <w:color w:val="0000EE"/>
            <w:u w:val="single"/>
          </w:rPr>
          <w:t>[7]</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5">
        <w:r>
          <w:rPr>
            <w:color w:val="0000EE"/>
            <w:u w:val="single"/>
          </w:rPr>
          <w:t>[7]</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5">
        <w:r>
          <w:rPr>
            <w:color w:val="0000EE"/>
            <w:u w:val="single"/>
          </w:rPr>
          <w:t>[7]</w:t>
        </w:r>
      </w:hyperlink>
      <w:r>
        <w:t xml:space="preserve">- Paragraph 15: </w:t>
      </w:r>
      <w:hyperlink r:id="rId15">
        <w:r>
          <w:rPr>
            <w:color w:val="0000EE"/>
            <w:u w:val="single"/>
          </w:rPr>
          <w:t>[7]</w:t>
        </w:r>
      </w:hyperlink>
      <w:r>
        <w:t xml:space="preserve">, </w:t>
      </w:r>
      <w:hyperlink r:id="rId12">
        <w:r>
          <w:rPr>
            <w:color w:val="0000EE"/>
            <w:u w:val="single"/>
          </w:rPr>
          <w:t>[4]</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5">
        <w:r>
          <w:rPr>
            <w:color w:val="0000EE"/>
            <w:u w:val="single"/>
          </w:rPr>
          <w:t>[7]</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https://www.christiantoday.com/news/australia-s-anti-therapy-laws-harm-the-most-vulnerable-britain-should-not-copy-them</w:t>
        </w:r>
      </w:hyperlink>
      <w:r>
        <w:t xml:space="preserve"> - Please view link - unable to able to access data</w:t>
      </w:r>
      <w:r/>
    </w:p>
    <w:p>
      <w:pPr>
        <w:pStyle w:val="ListNumber"/>
        <w:spacing w:line="240" w:lineRule="auto"/>
        <w:ind w:left="720"/>
      </w:pPr>
      <w:r/>
      <w:hyperlink r:id="rId10">
        <w:r>
          <w:rPr>
            <w:color w:val="0000EE"/>
            <w:u w:val="single"/>
          </w:rPr>
          <w:t>https://www.galop.org.uk/reports/there-was-nothing-to-fix-lgbt-survivors-experiences-of-conversion-practices</w:t>
        </w:r>
      </w:hyperlink>
      <w:r>
        <w:t xml:space="preserve"> - Galop's report reveals that nearly 1 in 5 LGBT+ individuals in the UK have experienced attempts to change, 'cure', or suppress their sexual orientation or gender identity. Trans and non-binary people are particularly affected, with 43% and 36% respectively reporting such experiences. The study highlights the widespread nature of conversion practices and their harmful impact on the LGBT+ community.</w:t>
      </w:r>
      <w:r/>
    </w:p>
    <w:p>
      <w:pPr>
        <w:pStyle w:val="ListNumber"/>
        <w:spacing w:line="240" w:lineRule="auto"/>
        <w:ind w:left="720"/>
      </w:pPr>
      <w:r/>
      <w:hyperlink r:id="rId11">
        <w:r>
          <w:rPr>
            <w:color w:val="0000EE"/>
            <w:u w:val="single"/>
          </w:rPr>
          <w:t>https://www.galop.org.uk/news/galops-new-research-shows-nearly-1-in-5-lgbt-people-have-experienced-conversion-practices</w:t>
        </w:r>
      </w:hyperlink>
      <w:r>
        <w:t xml:space="preserve"> - Galop's research indicates that 18% of LGBT+ people in the UK have been subjected to conversion practices. Trans and non-binary individuals are disproportionately affected, with 43% and 36% respectively reporting such experiences. The study underscores the ongoing prevalence of conversion practices and their detrimental effects on the mental health and well-being of the LGBT+ community.</w:t>
      </w:r>
      <w:r/>
    </w:p>
    <w:p>
      <w:pPr>
        <w:pStyle w:val="ListNumber"/>
        <w:spacing w:line="240" w:lineRule="auto"/>
        <w:ind w:left="720"/>
      </w:pPr>
      <w:r/>
      <w:hyperlink r:id="rId12">
        <w:r>
          <w:rPr>
            <w:color w:val="0000EE"/>
            <w:u w:val="single"/>
          </w:rPr>
          <w:t>https://www.stonewall.org.uk/shaping-policy/conversion-practices</w:t>
        </w:r>
      </w:hyperlink>
      <w:r>
        <w:t xml:space="preserve"> - Stonewall UK provides information on conversion practices, describing them as harmful attempts to change, 'cure', or suppress an individual's sexual orientation or gender identity. The organisation advocates for a comprehensive ban on such practices to protect the rights and well-being of LGBT+ individuals, highlighting the significant harm caused by these practices.</w:t>
      </w:r>
      <w:r/>
    </w:p>
    <w:p>
      <w:pPr>
        <w:pStyle w:val="ListNumber"/>
        <w:spacing w:line="240" w:lineRule="auto"/>
        <w:ind w:left="720"/>
      </w:pPr>
      <w:r/>
      <w:hyperlink r:id="rId13">
        <w:r>
          <w:rPr>
            <w:color w:val="0000EE"/>
            <w:u w:val="single"/>
          </w:rPr>
          <w:t>https://www.galop.org.uk/news/new-research-reveals-stark-reality-of-conversion-practices</w:t>
        </w:r>
      </w:hyperlink>
      <w:r>
        <w:t xml:space="preserve"> - Galop's latest research exposes the ongoing prevalence of conversion practices in the UK, revealing that LGBT+ individuals continue to experience covert and insidious forms of abuse aimed at changing, 'curing', or suppressing their sexual orientation and/or gender identity. The study challenges misconceptions that conversion practices are a historic issue and calls for immediate action to protect vulnerable individuals.</w:t>
      </w:r>
      <w:r/>
    </w:p>
    <w:p>
      <w:pPr>
        <w:pStyle w:val="ListNumber"/>
        <w:spacing w:line="240" w:lineRule="auto"/>
        <w:ind w:left="720"/>
      </w:pPr>
      <w:r/>
      <w:hyperlink r:id="rId14">
        <w:r>
          <w:rPr>
            <w:color w:val="0000EE"/>
            <w:u w:val="single"/>
          </w:rPr>
          <w:t>https://www.galop.org.uk/reports/the-use-of-sexual-violence-as-an-attempt-to-convert-or-punish-lgbt-people-in-the-uk</w:t>
        </w:r>
      </w:hyperlink>
      <w:r>
        <w:t xml:space="preserve"> - Galop's report highlights that 24% of LGBT+ respondents to a sexual violence survey experienced sexual assault intended to convert or punish them for their identity. The study reveals that conversion practices often intersect with other forms of abuse, including sexual violence, and underscores the urgent need for protective measures and support for survivors.</w:t>
      </w:r>
      <w:r/>
    </w:p>
    <w:p>
      <w:pPr>
        <w:pStyle w:val="ListNumber"/>
        <w:spacing w:line="240" w:lineRule="auto"/>
        <w:ind w:left="720"/>
      </w:pPr>
      <w:r/>
      <w:hyperlink r:id="rId15">
        <w:r>
          <w:rPr>
            <w:color w:val="0000EE"/>
            <w:u w:val="single"/>
          </w:rPr>
          <w:t>https://www.gov.uk/government/consultations/banning-conversion-therapy/public-feedback/banning-conversion-therapy-analysis-of-consultation-responses</w:t>
        </w:r>
      </w:hyperlink>
      <w:r>
        <w:t xml:space="preserve"> - The UK government's analysis of consultation responses on banning conversion therapy reveals that a significant majority of respondents support a ban. The report highlights the need for comprehensive support services for victims and survivors, including regular counselling and specialised staff training, to effectively address the harm caused by conversion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ristiantoday.com/news/australia-s-anti-therapy-laws-harm-the-most-vulnerable-britain-should-not-copy-them" TargetMode="External"/><Relationship Id="rId10" Type="http://schemas.openxmlformats.org/officeDocument/2006/relationships/hyperlink" Target="https://www.galop.org.uk/reports/there-was-nothing-to-fix-lgbt-survivors-experiences-of-conversion-practices" TargetMode="External"/><Relationship Id="rId11" Type="http://schemas.openxmlformats.org/officeDocument/2006/relationships/hyperlink" Target="https://www.galop.org.uk/news/galops-new-research-shows-nearly-1-in-5-lgbt-people-have-experienced-conversion-practices" TargetMode="External"/><Relationship Id="rId12" Type="http://schemas.openxmlformats.org/officeDocument/2006/relationships/hyperlink" Target="https://www.stonewall.org.uk/shaping-policy/conversion-practices" TargetMode="External"/><Relationship Id="rId13" Type="http://schemas.openxmlformats.org/officeDocument/2006/relationships/hyperlink" Target="https://www.galop.org.uk/news/new-research-reveals-stark-reality-of-conversion-practices" TargetMode="External"/><Relationship Id="rId14" Type="http://schemas.openxmlformats.org/officeDocument/2006/relationships/hyperlink" Target="https://www.galop.org.uk/reports/the-use-of-sexual-violence-as-an-attempt-to-convert-or-punish-lgbt-people-in-the-uk" TargetMode="External"/><Relationship Id="rId15" Type="http://schemas.openxmlformats.org/officeDocument/2006/relationships/hyperlink" Target="https://www.gov.uk/government/consultations/banning-conversion-therapy/public-feedback/banning-conversion-therapy-analysis-of-consultation-respon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