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UK Conversion Practices Bill Explained: What It Means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UK Government's draft conversion practices bill has prompted a heated debate about consent, safeguarding and gender identity. Here’s what the short proposal says, why campaigners support or oppose it, and what still needs clarifying before it could become law.</w:t>
      </w:r>
      <w:r/>
    </w:p>
    <w:p>
      <w:pPr>
        <w:pStyle w:val="Heading2"/>
      </w:pPr>
      <w:r>
        <w:t>Essential Takeaways</w:t>
      </w:r>
      <w:r/>
      <w:r/>
    </w:p>
    <w:p>
      <w:pPr>
        <w:pStyle w:val="ListBullet"/>
        <w:spacing w:line="240" w:lineRule="auto"/>
        <w:ind w:left="720"/>
      </w:pPr>
      <w:r/>
      <w:r>
        <w:rPr>
          <w:b/>
        </w:rPr>
        <w:t>The bill is still a draft:</w:t>
      </w:r>
      <w:r>
        <w:t xml:space="preserve"> It isn't legislation yet, and further parliamentary scrutiny would be needed.</w:t>
      </w:r>
      <w:r/>
    </w:p>
    <w:p>
      <w:pPr>
        <w:pStyle w:val="ListBullet"/>
        <w:spacing w:line="240" w:lineRule="auto"/>
        <w:ind w:left="720"/>
      </w:pPr>
      <w:r/>
      <w:r>
        <w:rPr>
          <w:b/>
        </w:rPr>
        <w:t>It covers more than sexual orientation:</w:t>
      </w:r>
      <w:r>
        <w:t xml:space="preserve"> The proposal also addresses practices linked to gender identity.</w:t>
      </w:r>
      <w:r/>
    </w:p>
    <w:p>
      <w:pPr>
        <w:pStyle w:val="ListBullet"/>
        <w:spacing w:line="240" w:lineRule="auto"/>
        <w:ind w:left="720"/>
      </w:pPr>
      <w:r/>
      <w:r>
        <w:rPr>
          <w:b/>
        </w:rPr>
        <w:t>Intent matters:</w:t>
      </w:r>
      <w:r>
        <w:t xml:space="preserve"> The central question is whether behaviour is coercive, abusive or genuinely harmful.</w:t>
      </w:r>
      <w:r/>
    </w:p>
    <w:p>
      <w:pPr>
        <w:pStyle w:val="ListBullet"/>
        <w:spacing w:line="240" w:lineRule="auto"/>
        <w:ind w:left="720"/>
      </w:pPr>
      <w:r/>
      <w:r>
        <w:rPr>
          <w:b/>
        </w:rPr>
        <w:t>Safeguards are crucial:</w:t>
      </w:r>
      <w:r>
        <w:t xml:space="preserve"> Religious speech, counselling and private conversations would need clear protection.</w:t>
      </w:r>
      <w:r/>
    </w:p>
    <w:p>
      <w:pPr>
        <w:pStyle w:val="ListBullet"/>
        <w:spacing w:line="240" w:lineRule="auto"/>
        <w:ind w:left="720"/>
      </w:pPr>
      <w:r/>
      <w:r>
        <w:rPr>
          <w:b/>
        </w:rPr>
        <w:t>The wider debate is unsettled:</w:t>
      </w:r>
      <w:r>
        <w:t xml:space="preserve"> Northern Ireland has pursued its own approach to criminalising conversion practices.</w:t>
      </w:r>
      <w:r/>
      <w:r/>
    </w:p>
    <w:p>
      <w:pPr>
        <w:pStyle w:val="Heading2"/>
      </w:pPr>
      <w:r>
        <w:t>What the draft bill is designed to do</w:t>
      </w:r>
      <w:r/>
    </w:p>
    <w:p>
      <w:r/>
      <w:r>
        <w:t xml:space="preserve">The proposed conversion practices bill aims to criminalise attempts to change or suppress a person's sexual orientation or gender identity through coercive or abusive conduct. The Government's published draft sets out definitions and offences, but it isn't yet a finished law. According to the official explanatory material, the proposal is intended to target harmful practices rather than ordinary discussion, support or disagreement. </w:t>
      </w:r>
      <w:hyperlink r:id="rId9">
        <w:r>
          <w:rPr>
            <w:color w:val="0000EE"/>
            <w:u w:val="single"/>
          </w:rPr>
          <w:t>[2]</w:t>
        </w:r>
      </w:hyperlink>
      <w:r/>
    </w:p>
    <w:p>
      <w:r/>
      <w:r>
        <w:t xml:space="preserve">That distinction sounds straightforward, but the detail matters. A law that reaches into counselling, pastoral care or family conversations would need carefully drawn boundaries, particularly where people are vulnerable or where views differ sharply. The Government's wider equality programme has also focused on removing barriers and improving protections, adding to the political context around the proposal. </w:t>
      </w:r>
      <w:hyperlink r:id="rId10">
        <w:r>
          <w:rPr>
            <w:color w:val="0000EE"/>
            <w:u w:val="single"/>
          </w:rPr>
          <w:t>[6]</w:t>
        </w:r>
      </w:hyperlink>
      <w:r/>
    </w:p>
    <w:p>
      <w:pPr>
        <w:pStyle w:val="Heading2"/>
      </w:pPr>
      <w:r>
        <w:t>Why gender identity has become the flashpoint</w:t>
      </w:r>
      <w:r/>
    </w:p>
    <w:p>
      <w:r/>
      <w:r>
        <w:t>Earlier debates about conversion therapy largely centred on attempts to change someone's sexual orientation. The new proposal also includes gender identity, which is why the argument has become considerably more politically charged.</w:t>
      </w:r>
      <w:r/>
    </w:p>
    <w:p>
      <w:r/>
      <w:r>
        <w:t>Supporters say trans people deserve protection from intimidation, manipulation and degrading treatment. Critics worry that unclear wording could blur the line between abusive intervention and lawful questioning, advice or therapeutic support. That tension isn't a technical footnote; it's the heart of the debate.</w:t>
      </w:r>
      <w:r/>
    </w:p>
    <w:p>
      <w:r/>
      <w:r>
        <w:t xml:space="preserve">The issue also sits alongside a broader Government focus on sex equality and workplace protections. Its gender pay gap and menopause action plans, for example, show how ministers are presenting equality policy as a practical issue affecting women's working lives. </w:t>
      </w:r>
      <w:hyperlink r:id="rId11">
        <w:r>
          <w:rPr>
            <w:color w:val="0000EE"/>
            <w:u w:val="single"/>
          </w:rPr>
          <w:t>[7]</w:t>
        </w:r>
      </w:hyperlink>
      <w:r/>
    </w:p>
    <w:p>
      <w:pPr>
        <w:pStyle w:val="Heading2"/>
      </w:pPr>
      <w:r>
        <w:t>What counts as a conversion practice?</w:t>
      </w:r>
      <w:r/>
    </w:p>
    <w:p>
      <w:r/>
      <w:r>
        <w:t>The phrase can sound broader than it is. In practical terms, the important questions are likely to include what was done, whether pressure or coercion was involved, the person's circumstances, and whether the conduct caused serious harm.</w:t>
      </w:r>
      <w:r/>
    </w:p>
    <w:p>
      <w:r/>
      <w:r>
        <w:t xml:space="preserve">The draft legislation is only six clauses long, but brevity doesn't necessarily mean simplicity. Definitions would have to work across very different settings, from organised abuse to one-to-one conversations. The Northern Ireland Assembly's work on a separate Conversion Practices Criminalisation Bill illustrates how devolved lawmakers are also grappling with the same difficult balance. </w:t>
      </w:r>
      <w:hyperlink r:id="rId12">
        <w:r>
          <w:rPr>
            <w:color w:val="0000EE"/>
            <w:u w:val="single"/>
          </w:rPr>
          <w:t>[3]</w:t>
        </w:r>
      </w:hyperlink>
      <w:r/>
    </w:p>
    <w:p>
      <w:r/>
      <w:r>
        <w:t>For anyone trying to understand the proposal, the safest approach is to look for the actual wording rather than rely on campaign slogans. Terms such as consent, suppression, harm and intent could determine how the law operates in real cases.</w:t>
      </w:r>
      <w:r/>
    </w:p>
    <w:p>
      <w:pPr>
        <w:pStyle w:val="Heading2"/>
      </w:pPr>
      <w:r>
        <w:t>How would it fit with existing protections?</w:t>
      </w:r>
      <w:r/>
    </w:p>
    <w:p>
      <w:r/>
      <w:r>
        <w:t>The Equality Act 2010 already provides protections against discrimination linked to characteristics including sexual orientation and sex. A new criminal offence would therefore sit alongside existing civil law, potentially giving police and prosecutors powers in situations that currently fall outside the criminal framework.</w:t>
      </w:r>
      <w:r/>
    </w:p>
    <w:p>
      <w:r/>
      <w:r>
        <w:t xml:space="preserve">That overlap makes precision even more important. New legislation should close genuine gaps without creating confusion about which disputes belong in criminal courts and which are better handled through employment, education or equality law. Government policy in other areas, including its approach to academy trust inspections, shows how much implementation detail can shape the effect of a headline reform. </w:t>
      </w:r>
      <w:hyperlink r:id="rId13">
        <w:r>
          <w:rPr>
            <w:color w:val="0000EE"/>
            <w:u w:val="single"/>
          </w:rPr>
          <w:t>[5]</w:t>
        </w:r>
      </w:hyperlink>
      <w:r/>
    </w:p>
    <w:p>
      <w:r/>
      <w:r>
        <w:t xml:space="preserve">There is also a wider lesson from historic policy failures. The Government's apology over forced adoption practices demonstrates why safeguards, accountability and institutional humility matter when the state intervenes in sensitive family and personal decisions. </w:t>
      </w:r>
      <w:hyperlink r:id="rId14">
        <w:r>
          <w:rPr>
            <w:color w:val="0000EE"/>
            <w:u w:val="single"/>
          </w:rPr>
          <w:t>[4]</w:t>
        </w:r>
      </w:hyperlink>
      <w:r/>
    </w:p>
    <w:p>
      <w:pPr>
        <w:pStyle w:val="Heading2"/>
      </w:pPr>
      <w:r>
        <w:t>What happens next?</w:t>
      </w:r>
      <w:r/>
    </w:p>
    <w:p>
      <w:r/>
      <w:r>
        <w:t>A draft bill is a starting point, not a settled outcome. It would need consultation, debate and amendment before ministers could introduce a final version, and MPs would then have the opportunity to scrutinise its wording in detail.</w:t>
      </w:r>
      <w:r/>
    </w:p>
    <w:p>
      <w:r/>
      <w:r>
        <w:t>The strongest eventual law would protect people from coercion while preserving legitimate conversation, professional care and religious freedom. That may satisfy neither side of the culture-war argument completely, but it would be a more useful test than political applause.</w:t>
      </w:r>
      <w:r/>
    </w:p>
    <w:p>
      <w:r/>
      <w:r>
        <w:t>The debate is likely to continue, especially over gender identity and the boundaries of lawful advice. For now, the key question is less whether harm should be prohibited and more how Parliament can define that harm clearly enough to protect everyone.</w:t>
      </w:r>
      <w:r/>
    </w:p>
    <w:p>
      <w:r/>
      <w:r>
        <w:t>A careful law could protect vulnerable people without turning ordinary disagreement into a criminal matter.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[7]</w:t>
        </w:r>
      </w:hyperlink>
      <w:r>
        <w:t xml:space="preserve">, </w:t>
      </w:r>
      <w:hyperlink r:id="rId10">
        <w:r>
          <w:rPr>
            <w:color w:val="0000EE"/>
            <w:u w:val="single"/>
          </w:rPr>
          <w:t>[6]</w:t>
        </w:r>
      </w:hyperlink>
      <w:r>
        <w:t xml:space="preserve">- Paragraph 4: </w:t>
      </w:r>
      <w:hyperlink r:id="rId12">
        <w:r>
          <w:rPr>
            <w:color w:val="0000EE"/>
            <w:u w:val="single"/>
          </w:rPr>
          <w:t>[3]</w:t>
        </w:r>
      </w:hyperlink>
      <w:r>
        <w:t xml:space="preserve">, </w:t>
      </w:r>
      <w:hyperlink r:id="rId9">
        <w:r>
          <w:rPr>
            <w:color w:val="0000EE"/>
            <w:u w:val="single"/>
          </w:rPr>
          <w:t>[2]</w:t>
        </w:r>
      </w:hyperlink>
      <w:r>
        <w:t xml:space="preserve">- Paragraph 5: </w:t>
      </w:r>
      <w:hyperlink r:id="rId9">
        <w:r>
          <w:rPr>
            <w:color w:val="0000EE"/>
            <w:u w:val="single"/>
          </w:rPr>
          <w:t>[2]</w:t>
        </w:r>
      </w:hyperlink>
      <w:r>
        <w:t xml:space="preserve">, </w:t>
      </w:r>
      <w:hyperlink r:id="rId13">
        <w:r>
          <w:rPr>
            <w:color w:val="0000EE"/>
            <w:u w:val="single"/>
          </w:rPr>
          <w:t>[5]</w:t>
        </w:r>
      </w:hyperlink>
      <w:r>
        <w:t xml:space="preserve">- Paragraph 6: </w:t>
      </w:r>
      <w:hyperlink r:id="rId14">
        <w:r>
          <w:rPr>
            <w:color w:val="0000EE"/>
            <w:u w:val="single"/>
          </w:rPr>
          <w:t>[4]</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https://anglicanmainstream.org/article/the-governments-conversion-therapies-legislation-is-a-flawed-attempt-to-push-a-transgender-agenda/</w:t>
        </w:r>
      </w:hyperlink>
      <w:r>
        <w:t xml:space="preserve"> - Please view link - unable to able to access data</w:t>
      </w:r>
      <w:r/>
    </w:p>
    <w:p>
      <w:pPr>
        <w:pStyle w:val="ListNumber"/>
        <w:spacing w:line="240" w:lineRule="auto"/>
        <w:ind w:left="720"/>
      </w:pPr>
      <w:r/>
      <w:hyperlink r:id="rId9">
        <w:r>
          <w:rPr>
            <w:color w:val="0000EE"/>
            <w:u w:val="single"/>
          </w:rPr>
          <w:t>https://www.gov.uk/government/publications/draft-conversion-practices-bill</w:t>
        </w:r>
      </w:hyperlink>
      <w:r>
        <w:t xml:space="preserve"> - The UK government has introduced a draft Conversion Practices Bill aiming to prohibit abusive conversion practices targeting individuals' sexual orientation or gender identity. The bill outlines three proposed offences to criminalise such practices, including the carrying out of conversion practices, encouraging or assisting conversion practices against UK nationals abroad, and the creation of conversion practice protection orders. The draft bill is currently undergoing pre-legislative scrutiny and is applicable to England and Wales. The bill was published on 25 June 2026 and last updated on 1 September 2026.</w:t>
      </w:r>
      <w:r/>
    </w:p>
    <w:p>
      <w:pPr>
        <w:pStyle w:val="ListNumber"/>
        <w:spacing w:line="240" w:lineRule="auto"/>
        <w:ind w:left="720"/>
      </w:pPr>
      <w:r/>
      <w:hyperlink r:id="rId12">
        <w:r>
          <w:rPr>
            <w:color w:val="0000EE"/>
            <w:u w:val="single"/>
          </w:rPr>
          <w:t>https://www.niassembly.gov.uk/assembly-business/committees/2022-2027/communities/legislation/bills-primary-legislation/conversion-practices-criminalisation-bill/</w:t>
        </w:r>
      </w:hyperlink>
      <w:r>
        <w:t xml:space="preserve"> - In Northern Ireland, the Conversion Practices (Criminalisation) Bill was introduced by Eóin Tennyson MLA on 30 June 2026. The bill proposes a legal framework to prohibit and criminalise conversion practices aimed at changing or suppressing an individual's sexual orientation or gender identity. This includes practices such as conversion therapy, coercive behaviour, or removing a person from Northern Ireland for such purposes. The bill is currently awaiting Second Stage consideration by the Assembly, and further information is available on the Northern Ireland Assembly website.</w:t>
      </w:r>
      <w:r/>
    </w:p>
    <w:p>
      <w:pPr>
        <w:pStyle w:val="ListNumber"/>
        <w:spacing w:line="240" w:lineRule="auto"/>
        <w:ind w:left="720"/>
      </w:pPr>
      <w:r/>
      <w:hyperlink r:id="rId14">
        <w:r>
          <w:rPr>
            <w:color w:val="0000EE"/>
            <w:u w:val="single"/>
          </w:rPr>
          <w:t>https://www.gov.uk/government/news/government-apologises-for-historic-forced-adoption-practices</w:t>
        </w:r>
      </w:hyperlink>
      <w:r>
        <w:t xml:space="preserve"> - On 2 July 2026, the UK government issued a formal apology for historic forced adoption practices that took place primarily between 1949 and 1976. The apology acknowledges the harm caused to an estimated 185,000 mothers, adopted individuals, and their families, recognising that many women were denied genuine choice and made to feel ashamed. The government also unveiled a £4 million support package over three years to help those affected access their adoption records and reconnect with family members. Education Secretary Bridget Phillipson expressed deep regret for the pain caused by these practices.</w:t>
      </w:r>
      <w:r/>
    </w:p>
    <w:p>
      <w:pPr>
        <w:pStyle w:val="ListNumber"/>
        <w:spacing w:line="240" w:lineRule="auto"/>
        <w:ind w:left="720"/>
      </w:pPr>
      <w:r/>
      <w:hyperlink r:id="rId13">
        <w:r>
          <w:rPr>
            <w:color w:val="0000EE"/>
            <w:u w:val="single"/>
          </w:rPr>
          <w:t>https://www.gov.uk/government/news/government-to-introduce-academy-trust-inspections</w:t>
        </w:r>
      </w:hyperlink>
      <w:r>
        <w:t xml:space="preserve"> - The UK government announced plans to introduce inspections of multi-academy trusts to boost transparency and strengthen outcomes for children. Education Secretary Bridget Phillipson tabled an amendment to the Children’s Wellbeing and Schools Bill, aiming to give parents and communities greater confidence that schools are part of strong, supportive trusts focused on improving outcomes for every child. The inspections will focus on leadership, governance, and impact, including how effectively trusts improve schools, provide high-quality education, support staff, use resources, and promote pupil wellbeing.</w:t>
      </w:r>
      <w:r/>
    </w:p>
    <w:p>
      <w:pPr>
        <w:pStyle w:val="ListNumber"/>
        <w:spacing w:line="240" w:lineRule="auto"/>
        <w:ind w:left="720"/>
      </w:pPr>
      <w:r/>
      <w:hyperlink r:id="rId10">
        <w:r>
          <w:rPr>
            <w:color w:val="0000EE"/>
            <w:u w:val="single"/>
          </w:rPr>
          <w:t>https://www.gov.uk/government/news/legislation-breaks-down-barriers-to-opportunity-for-all-children</w:t>
        </w:r>
      </w:hyperlink>
      <w:r>
        <w:t xml:space="preserve"> - The UK government introduced the Children’s Wellbeing and Schools Bill on 17 December 2024, aiming to protect children at risk of abuse and prevent vulnerable children from falling through the cracks. The bill includes measures to ensure teachers and schools are always involved in decisions around safeguarding children, strengthen multi-agency safeguarding arrangements, and provide better protections for young people. Education Secretary Bridget Phillipson emphasised the government's commitment to putting children first and ensuring no child is overlooked, especially those with the greatest needs.</w:t>
      </w:r>
      <w:r/>
    </w:p>
    <w:p>
      <w:pPr>
        <w:pStyle w:val="ListNumber"/>
        <w:spacing w:line="240" w:lineRule="auto"/>
        <w:ind w:left="720"/>
      </w:pPr>
      <w:r/>
      <w:hyperlink r:id="rId11">
        <w:r>
          <w:rPr>
            <w:color w:val="0000EE"/>
            <w:u w:val="single"/>
          </w:rPr>
          <w:t>https://www.gov.uk/government/news/government-launches-landmark-gender-pay-gap-and-menopause-action-plans-to-help-women-thrive-at-work</w:t>
        </w:r>
      </w:hyperlink>
      <w:r>
        <w:t xml:space="preserve"> - On 4 March 2026, the UK government launched action plans to support women in the workplace, focusing on reducing the gender pay gap and providing menopause support. Employers with 250 or more employees are encouraged to publish the steps they are taking to reduce their gender pay gap and support employees through menopause from April. The government aims to work collaboratively with businesses to share best practices and motivate others to follow suit voluntarily, contributing to a fairer Britain where women and girls can prosper.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v.uk/government/publications/draft-conversion-practices-bill" TargetMode="External"/><Relationship Id="rId10" Type="http://schemas.openxmlformats.org/officeDocument/2006/relationships/hyperlink" Target="https://www.gov.uk/government/news/legislation-breaks-down-barriers-to-opportunity-for-all-children" TargetMode="External"/><Relationship Id="rId11" Type="http://schemas.openxmlformats.org/officeDocument/2006/relationships/hyperlink" Target="https://www.gov.uk/government/news/government-launches-landmark-gender-pay-gap-and-menopause-action-plans-to-help-women-thrive-at-work" TargetMode="External"/><Relationship Id="rId12" Type="http://schemas.openxmlformats.org/officeDocument/2006/relationships/hyperlink" Target="https://www.niassembly.gov.uk/assembly-business/committees/2022-2027/communities/legislation/bills-primary-legislation/conversion-practices-criminalisation-bill/" TargetMode="External"/><Relationship Id="rId13" Type="http://schemas.openxmlformats.org/officeDocument/2006/relationships/hyperlink" Target="https://www.gov.uk/government/news/government-to-introduce-academy-trust-inspections" TargetMode="External"/><Relationship Id="rId14" Type="http://schemas.openxmlformats.org/officeDocument/2006/relationships/hyperlink" Target="https://www.gov.uk/government/news/government-apologises-for-historic-forced-adoption-practices" TargetMode="External"/><Relationship Id="rId15" Type="http://schemas.openxmlformats.org/officeDocument/2006/relationships/hyperlink" Target="https://anglicanmainstream.org/article/the-governments-conversion-therapies-legislation-is-a-flawed-attempt-to-push-a-transgender-agen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