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What the Data Really Shows About Transgender Violence Claims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being asked to make sense of sharply competing claims about violence against transgender people in the United States. A recent Boston Globe opinion column has reignited the debate, pointing to falling reported deaths, while advocacy groups warn that incomplete records can conceal the true scale of harm.</w:t>
      </w:r>
      <w:r/>
    </w:p>
    <w:p>
      <w:pPr>
        <w:pStyle w:val="Heading2"/>
      </w:pPr>
      <w:r>
        <w:t>The headline figure needs careful handling</w:t>
      </w:r>
      <w:r/>
    </w:p>
    <w:p>
      <w:r/>
      <w:r>
        <w:t xml:space="preserve">The central dispute is over how transgender deaths are counted. The Human Rights Campaign has described violence against transgender and gender-nonconforming people as an ongoing crisis, while figures cited in the Boston Globe column suggest reported deaths fell substantially between 2023 and 2025. The contrast is striking, but it isn't quite the same as proving that violence has disappeared. Sources: Human Rights Campaign, Boston Globe reporting as cited in the supplied material. </w:t>
      </w:r>
      <w:hyperlink r:id="rId9">
        <w:r>
          <w:rPr>
            <w:color w:val="0000EE"/>
            <w:u w:val="single"/>
          </w:rPr>
          <w:t>[2]</w:t>
        </w:r>
      </w:hyperlink>
      <w:r>
        <w:t xml:space="preserve">, </w:t>
      </w:r>
      <w:hyperlink r:id="rId10">
        <w:r>
          <w:rPr>
            <w:color w:val="0000EE"/>
            <w:u w:val="single"/>
          </w:rPr>
          <w:t>[6]</w:t>
        </w:r>
      </w:hyperlink>
      <w:r/>
    </w:p>
    <w:p>
      <w:r/>
      <w:r>
        <w:t xml:space="preserve">Small numbers can move dramatically from one year to the next, particularly when the population being measured is relatively small. A fall in recorded deaths is important, but it doesn't automatically explain why the number changed or whether every relevant case was identified. That's where the argument becomes more complicated than a single percentage. Sources: HRC Foundation, CDC. </w:t>
      </w:r>
      <w:hyperlink r:id="rId9">
        <w:r>
          <w:rPr>
            <w:color w:val="0000EE"/>
            <w:u w:val="single"/>
          </w:rPr>
          <w:t>[2]</w:t>
        </w:r>
      </w:hyperlink>
      <w:r>
        <w:t xml:space="preserve">, </w:t>
      </w:r>
      <w:hyperlink r:id="rId11">
        <w:r>
          <w:rPr>
            <w:color w:val="0000EE"/>
            <w:u w:val="single"/>
          </w:rPr>
          <w:t>[5]</w:t>
        </w:r>
      </w:hyperlink>
      <w:r/>
    </w:p>
    <w:p>
      <w:pPr>
        <w:pStyle w:val="Heading2"/>
      </w:pPr>
      <w:r>
        <w:t>Why campaigners say the data is incomplete</w:t>
      </w:r>
      <w:r/>
    </w:p>
    <w:p>
      <w:r/>
      <w:r>
        <w:t xml:space="preserve">Advocacy organisations argue that official records, police reports and news coverage can misidentify transgender victims or omit their gender identity altogether. That concern matters because death certificates and crime databases aren't designed primarily to capture nuanced identity information. Sources: HRC Foundation, CDC. </w:t>
      </w:r>
      <w:hyperlink r:id="rId9">
        <w:r>
          <w:rPr>
            <w:color w:val="0000EE"/>
            <w:u w:val="single"/>
          </w:rPr>
          <w:t>[2]</w:t>
        </w:r>
      </w:hyperlink>
      <w:r>
        <w:t xml:space="preserve">, </w:t>
      </w:r>
      <w:hyperlink r:id="rId11">
        <w:r>
          <w:rPr>
            <w:color w:val="0000EE"/>
            <w:u w:val="single"/>
          </w:rPr>
          <w:t>[5]</w:t>
        </w:r>
      </w:hyperlink>
      <w:r/>
    </w:p>
    <w:p>
      <w:r/>
      <w:r>
        <w:t xml:space="preserve">The CDC's guidance and surveillance work show how difficult it can be to compare identity, mortality and crime data cleanly. Definitions vary, reporting practices differ between jurisdictions, and researchers may have limited information about a victim's identity. In other words, a low count may reflect fewer deaths, imperfect classification, or both. Sources: CDC, HRC Foundation. </w:t>
      </w:r>
      <w:hyperlink r:id="rId11">
        <w:r>
          <w:rPr>
            <w:color w:val="0000EE"/>
            <w:u w:val="single"/>
          </w:rPr>
          <w:t>[5]</w:t>
        </w:r>
      </w:hyperlink>
      <w:r>
        <w:t xml:space="preserve">, </w:t>
      </w:r>
      <w:hyperlink r:id="rId10">
        <w:r>
          <w:rPr>
            <w:color w:val="0000EE"/>
            <w:u w:val="single"/>
          </w:rPr>
          <w:t>[6]</w:t>
        </w:r>
      </w:hyperlink>
      <w:r/>
    </w:p>
    <w:p>
      <w:pPr>
        <w:pStyle w:val="Heading2"/>
      </w:pPr>
      <w:r>
        <w:t>Murder totals don't tell the whole story</w:t>
      </w:r>
      <w:r/>
    </w:p>
    <w:p>
      <w:r/>
      <w:r>
        <w:t xml:space="preserve">The Manhattan Institute report cited in the debate argues that transgender people are not more likely to be murdered than the wider population and that many cases involve intimate partners rather than an identified anti-transgender motive. Those are serious claims, but they should be assessed against transparent methods and clearly defined comparison groups. Sources: Manhattan Institute, fact-checking summaries. </w:t>
      </w:r>
      <w:hyperlink r:id="rId12">
        <w:r>
          <w:rPr>
            <w:color w:val="0000EE"/>
            <w:u w:val="single"/>
          </w:rPr>
          <w:t>[3]</w:t>
        </w:r>
      </w:hyperlink>
      <w:r>
        <w:t xml:space="preserve">, </w:t>
      </w:r>
      <w:hyperlink r:id="rId13">
        <w:r>
          <w:rPr>
            <w:color w:val="0000EE"/>
            <w:u w:val="single"/>
          </w:rPr>
          <w:t>[4]</w:t>
        </w:r>
      </w:hyperlink>
      <w:r>
        <w:t xml:space="preserve">, </w:t>
      </w:r>
      <w:hyperlink r:id="rId14">
        <w:r>
          <w:rPr>
            <w:color w:val="0000EE"/>
            <w:u w:val="single"/>
          </w:rPr>
          <w:t>[7]</w:t>
        </w:r>
      </w:hyperlink>
      <w:r/>
    </w:p>
    <w:p>
      <w:r/>
      <w:r>
        <w:t xml:space="preserve">Motive is especially difficult to establish. A killing may involve domestic abuse, robbery, conflict between acquaintances or prejudice, and investigators don't always have enough evidence to assign one neat explanation. Treating every death as a hate crime risks overstating the evidence, while dismissing identity-related hostility risks missing part of the picture. Sources: CDC, Manhattan Institute. </w:t>
      </w:r>
      <w:hyperlink r:id="rId11">
        <w:r>
          <w:rPr>
            <w:color w:val="0000EE"/>
            <w:u w:val="single"/>
          </w:rPr>
          <w:t>[5]</w:t>
        </w:r>
      </w:hyperlink>
      <w:r>
        <w:t xml:space="preserve">, </w:t>
      </w:r>
      <w:hyperlink r:id="rId14">
        <w:r>
          <w:rPr>
            <w:color w:val="0000EE"/>
            <w:u w:val="single"/>
          </w:rPr>
          <w:t>[7]</w:t>
        </w:r>
      </w:hyperlink>
      <w:r/>
    </w:p>
    <w:p>
      <w:pPr>
        <w:pStyle w:val="Heading2"/>
      </w:pPr>
      <w:r>
        <w:t>The comparison problem is bigger than it looks</w:t>
      </w:r>
      <w:r/>
    </w:p>
    <w:p>
      <w:r/>
      <w:r>
        <w:t xml:space="preserve">Comparing transgender people with the general population requires reliable estimates of how many transgender people live in the United States, as well as consistent information about age, sex, race, location and relationship status. Without those controls, a simple rate comparison can sound more definitive than it really is. Sources: fact-checking summaries, CDC. </w:t>
      </w:r>
      <w:hyperlink r:id="rId12">
        <w:r>
          <w:rPr>
            <w:color w:val="0000EE"/>
            <w:u w:val="single"/>
          </w:rPr>
          <w:t>[3]</w:t>
        </w:r>
      </w:hyperlink>
      <w:r>
        <w:t xml:space="preserve">, </w:t>
      </w:r>
      <w:hyperlink r:id="rId13">
        <w:r>
          <w:rPr>
            <w:color w:val="0000EE"/>
            <w:u w:val="single"/>
          </w:rPr>
          <w:t>[4]</w:t>
        </w:r>
      </w:hyperlink>
      <w:r>
        <w:t xml:space="preserve">, </w:t>
      </w:r>
      <w:hyperlink r:id="rId11">
        <w:r>
          <w:rPr>
            <w:color w:val="0000EE"/>
            <w:u w:val="single"/>
          </w:rPr>
          <w:t>[5]</w:t>
        </w:r>
      </w:hyperlink>
      <w:r/>
    </w:p>
    <w:p>
      <w:r/>
      <w:r>
        <w:t xml:space="preserve">Race and intimate-partner status also matter. Crime patterns don't fall into one tidy category, and the same incident can reflect several risk factors at once. The most useful reporting therefore separates the number of deaths, the rate of deaths, the suspected motive and the quality of the underlying data. Sources: Manhattan Institute, HRC Foundation, CDC. </w:t>
      </w:r>
      <w:hyperlink r:id="rId9">
        <w:r>
          <w:rPr>
            <w:color w:val="0000EE"/>
            <w:u w:val="single"/>
          </w:rPr>
          <w:t>[2]</w:t>
        </w:r>
      </w:hyperlink>
      <w:r>
        <w:t xml:space="preserve">, </w:t>
      </w:r>
      <w:hyperlink r:id="rId11">
        <w:r>
          <w:rPr>
            <w:color w:val="0000EE"/>
            <w:u w:val="single"/>
          </w:rPr>
          <w:t>[5]</w:t>
        </w:r>
      </w:hyperlink>
      <w:r>
        <w:t xml:space="preserve">, </w:t>
      </w:r>
      <w:hyperlink r:id="rId14">
        <w:r>
          <w:rPr>
            <w:color w:val="0000EE"/>
            <w:u w:val="single"/>
          </w:rPr>
          <w:t>[7]</w:t>
        </w:r>
      </w:hyperlink>
      <w:r/>
    </w:p>
    <w:p>
      <w:pPr>
        <w:pStyle w:val="Heading2"/>
      </w:pPr>
      <w:r>
        <w:t>What readers should take from the argument</w:t>
      </w:r>
      <w:r/>
    </w:p>
    <w:p>
      <w:r/>
      <w:r>
        <w:t xml:space="preserve">The strongest conclusion is not that one side has proved everything. Rather, the available material shows why claims of a national "genocide" require extraordinary evidence, while falling recorded deaths shouldn't be used to wave away genuine safety concerns or data gaps. Sources: HRC Foundation, CDC, Manhattan Institute. </w:t>
      </w:r>
      <w:hyperlink r:id="rId9">
        <w:r>
          <w:rPr>
            <w:color w:val="0000EE"/>
            <w:u w:val="single"/>
          </w:rPr>
          <w:t>[2]</w:t>
        </w:r>
      </w:hyperlink>
      <w:r>
        <w:t xml:space="preserve">, </w:t>
      </w:r>
      <w:hyperlink r:id="rId11">
        <w:r>
          <w:rPr>
            <w:color w:val="0000EE"/>
            <w:u w:val="single"/>
          </w:rPr>
          <w:t>[5]</w:t>
        </w:r>
      </w:hyperlink>
      <w:r>
        <w:t xml:space="preserve">, </w:t>
      </w:r>
      <w:hyperlink r:id="rId10">
        <w:r>
          <w:rPr>
            <w:color w:val="0000EE"/>
            <w:u w:val="single"/>
          </w:rPr>
          <w:t>[6]</w:t>
        </w:r>
      </w:hyperlink>
      <w:r>
        <w:t xml:space="preserve">, </w:t>
      </w:r>
      <w:hyperlink r:id="rId14">
        <w:r>
          <w:rPr>
            <w:color w:val="0000EE"/>
            <w:u w:val="single"/>
          </w:rPr>
          <w:t>[7]</w:t>
        </w:r>
      </w:hyperlink>
      <w:r/>
    </w:p>
    <w:p>
      <w:r/>
      <w:r>
        <w:t xml:space="preserve">A more useful question is whether future reports publish their definitions, explain missing cases and distinguish homicide from other violent incidents. That would make the conversation less theatrical and far more informative. For readers, the practical rule is simple: check the year, the denominator, the source and the method before sharing a dramatic statistic. Sources: fact-checking summaries, CDC. </w:t>
      </w:r>
      <w:hyperlink r:id="rId12">
        <w:r>
          <w:rPr>
            <w:color w:val="0000EE"/>
            <w:u w:val="single"/>
          </w:rPr>
          <w:t>[3]</w:t>
        </w:r>
      </w:hyperlink>
      <w:r>
        <w:t xml:space="preserve">, </w:t>
      </w:r>
      <w:hyperlink r:id="rId13">
        <w:r>
          <w:rPr>
            <w:color w:val="0000EE"/>
            <w:u w:val="single"/>
          </w:rPr>
          <w:t>[4]</w:t>
        </w:r>
      </w:hyperlink>
      <w:r>
        <w:t xml:space="preserve">, </w:t>
      </w:r>
      <w:hyperlink r:id="rId11">
        <w:r>
          <w:rPr>
            <w:color w:val="0000EE"/>
            <w:u w:val="single"/>
          </w:rPr>
          <w:t>[5]</w:t>
        </w:r>
      </w:hyperlink>
      <w:r/>
    </w:p>
    <w:p>
      <w:r/>
      <w:r>
        <w:t>The debate won't be settled by slogans, but better data could make it considerably less heated.</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[6]</w:t>
        </w:r>
      </w:hyperlink>
      <w:r>
        <w:t xml:space="preserve">- Paragraph 2: </w:t>
      </w:r>
      <w:hyperlink r:id="rId11">
        <w:r>
          <w:rPr>
            <w:color w:val="0000EE"/>
            <w:u w:val="single"/>
          </w:rPr>
          <w:t>[5]</w:t>
        </w:r>
      </w:hyperlink>
      <w:r>
        <w:t xml:space="preserve">, </w:t>
      </w:r>
      <w:hyperlink r:id="rId10">
        <w:r>
          <w:rPr>
            <w:color w:val="0000EE"/>
            <w:u w:val="single"/>
          </w:rPr>
          <w:t>[6]</w:t>
        </w:r>
      </w:hyperlink>
      <w:r>
        <w:t xml:space="preserve">- Paragraph 3: </w:t>
      </w:r>
      <w:hyperlink r:id="rId9">
        <w:r>
          <w:rPr>
            <w:color w:val="0000EE"/>
            <w:u w:val="single"/>
          </w:rPr>
          <w:t>[2]</w:t>
        </w:r>
      </w:hyperlink>
      <w:r>
        <w:t xml:space="preserve">, </w:t>
      </w:r>
      <w:hyperlink r:id="rId11">
        <w:r>
          <w:rPr>
            <w:color w:val="0000EE"/>
            <w:u w:val="single"/>
          </w:rPr>
          <w:t>[5]</w:t>
        </w:r>
      </w:hyperlink>
      <w:r>
        <w:t xml:space="preserve">- Paragraph 4: </w:t>
      </w:r>
      <w:hyperlink r:id="rId9">
        <w:r>
          <w:rPr>
            <w:color w:val="0000EE"/>
            <w:u w:val="single"/>
          </w:rPr>
          <w:t>[2]</w:t>
        </w:r>
      </w:hyperlink>
      <w:r>
        <w:t xml:space="preserve">, </w:t>
      </w:r>
      <w:hyperlink r:id="rId11">
        <w:r>
          <w:rPr>
            <w:color w:val="0000EE"/>
            <w:u w:val="single"/>
          </w:rPr>
          <w:t>[5]</w:t>
        </w:r>
      </w:hyperlink>
      <w:r>
        <w:t xml:space="preserve">- Paragraph 5: </w:t>
      </w:r>
      <w:hyperlink r:id="rId12">
        <w:r>
          <w:rPr>
            <w:color w:val="0000EE"/>
            <w:u w:val="single"/>
          </w:rPr>
          <w:t>[3]</w:t>
        </w:r>
      </w:hyperlink>
      <w:r>
        <w:t xml:space="preserve">, </w:t>
      </w:r>
      <w:hyperlink r:id="rId13">
        <w:r>
          <w:rPr>
            <w:color w:val="0000EE"/>
            <w:u w:val="single"/>
          </w:rPr>
          <w:t>[4]</w:t>
        </w:r>
      </w:hyperlink>
      <w:r>
        <w:t xml:space="preserve">, </w:t>
      </w:r>
      <w:hyperlink r:id="rId14">
        <w:r>
          <w:rPr>
            <w:color w:val="0000EE"/>
            <w:u w:val="single"/>
          </w:rPr>
          <w:t>[7]</w:t>
        </w:r>
      </w:hyperlink>
      <w:r>
        <w:t xml:space="preserve">- Paragraph 6: </w:t>
      </w:r>
      <w:hyperlink r:id="rId11">
        <w:r>
          <w:rPr>
            <w:color w:val="0000EE"/>
            <w:u w:val="single"/>
          </w:rPr>
          <w:t>[5]</w:t>
        </w:r>
      </w:hyperlink>
      <w:r>
        <w:t xml:space="preserve">, </w:t>
      </w:r>
      <w:hyperlink r:id="rId14">
        <w:r>
          <w:rPr>
            <w:color w:val="0000EE"/>
            <w:u w:val="single"/>
          </w:rPr>
          <w:t>[7]</w:t>
        </w:r>
      </w:hyperlink>
      <w:r>
        <w:t xml:space="preserve">- Paragraph 7: </w:t>
      </w:r>
      <w:hyperlink r:id="rId12">
        <w:r>
          <w:rPr>
            <w:color w:val="0000EE"/>
            <w:u w:val="single"/>
          </w:rPr>
          <w:t>[3]</w:t>
        </w:r>
      </w:hyperlink>
      <w:r>
        <w:t xml:space="preserve">, </w:t>
      </w:r>
      <w:hyperlink r:id="rId13">
        <w:r>
          <w:rPr>
            <w:color w:val="0000EE"/>
            <w:u w:val="single"/>
          </w:rPr>
          <w:t>[4]</w:t>
        </w:r>
      </w:hyperlink>
      <w:r>
        <w:t xml:space="preserve">, </w:t>
      </w:r>
      <w:hyperlink r:id="rId11">
        <w:r>
          <w:rPr>
            <w:color w:val="0000EE"/>
            <w:u w:val="single"/>
          </w:rPr>
          <w:t>[5]</w:t>
        </w:r>
      </w:hyperlink>
      <w:r>
        <w:t xml:space="preserve">- Paragraph 8: </w:t>
      </w:r>
      <w:hyperlink r:id="rId11">
        <w:r>
          <w:rPr>
            <w:color w:val="0000EE"/>
            <w:u w:val="single"/>
          </w:rPr>
          <w:t>[5]</w:t>
        </w:r>
      </w:hyperlink>
      <w:r>
        <w:t xml:space="preserve">, </w:t>
      </w:r>
      <w:hyperlink r:id="rId14">
        <w:r>
          <w:rPr>
            <w:color w:val="0000EE"/>
            <w:u w:val="single"/>
          </w:rPr>
          <w:t>[7]</w:t>
        </w:r>
      </w:hyperlink>
      <w:r>
        <w:t xml:space="preserve">- Paragraph 9: </w:t>
      </w:r>
      <w:hyperlink r:id="rId9">
        <w:r>
          <w:rPr>
            <w:color w:val="0000EE"/>
            <w:u w:val="single"/>
          </w:rPr>
          <w:t>[2]</w:t>
        </w:r>
      </w:hyperlink>
      <w:r>
        <w:t xml:space="preserve">, </w:t>
      </w:r>
      <w:hyperlink r:id="rId11">
        <w:r>
          <w:rPr>
            <w:color w:val="0000EE"/>
            <w:u w:val="single"/>
          </w:rPr>
          <w:t>[5]</w:t>
        </w:r>
      </w:hyperlink>
      <w:r>
        <w:t xml:space="preserve">, </w:t>
      </w:r>
      <w:hyperlink r:id="rId10">
        <w:r>
          <w:rPr>
            <w:color w:val="0000EE"/>
            <w:u w:val="single"/>
          </w:rPr>
          <w:t>[6]</w:t>
        </w:r>
      </w:hyperlink>
      <w:r>
        <w:t xml:space="preserve">, </w:t>
      </w:r>
      <w:hyperlink r:id="rId14">
        <w:r>
          <w:rPr>
            <w:color w:val="0000EE"/>
            <w:u w:val="single"/>
          </w:rPr>
          <w:t>[7]</w:t>
        </w:r>
      </w:hyperlink>
      <w:r>
        <w:t xml:space="preserve">- Paragraph 10: </w:t>
      </w:r>
      <w:hyperlink r:id="rId12">
        <w:r>
          <w:rPr>
            <w:color w:val="0000EE"/>
            <w:u w:val="single"/>
          </w:rPr>
          <w:t>[3]</w:t>
        </w:r>
      </w:hyperlink>
      <w:r>
        <w:t xml:space="preserve">, </w:t>
      </w:r>
      <w:hyperlink r:id="rId13">
        <w:r>
          <w:rPr>
            <w:color w:val="0000EE"/>
            <w:u w:val="single"/>
          </w:rPr>
          <w:t>[4]</w:t>
        </w:r>
      </w:hyperlink>
      <w:r>
        <w:t xml:space="preserve">, </w:t>
      </w:r>
      <w:hyperlink r:id="rId11">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https://pjmedia.com/matt-margolis/2026/09/23/liberal-paper-debunks-the-myth-of-trans-genocide-in-the-united-states-n4957571</w:t>
        </w:r>
      </w:hyperlink>
      <w:r>
        <w:t xml:space="preserve"> - Please view link - unable to able to access data</w:t>
      </w:r>
      <w:r/>
    </w:p>
    <w:p>
      <w:pPr>
        <w:pStyle w:val="ListNumber"/>
        <w:spacing w:line="240" w:lineRule="auto"/>
        <w:ind w:left="720"/>
      </w:pPr>
      <w:r/>
      <w:hyperlink r:id="rId9">
        <w:r>
          <w:rPr>
            <w:color w:val="0000EE"/>
            <w:u w:val="single"/>
          </w:rPr>
          <w:t>https://www.hrc.org/press-releases/hrc-foundation-report-epidemic-of-violence-continues-transgender-and-gender-nonconforming-people-still-killed-at-disproportionate-rates-in-2023</w:t>
        </w:r>
      </w:hyperlink>
      <w:r>
        <w:t xml:space="preserve"> - The Human Rights Campaign Foundation's 2023 report highlights the ongoing epidemic of violence against transgender and gender non-conforming individuals in the United States. The report identifies 33 deaths of transgender people between November 2022 and November 2023, with Black transgender women comprising half of these fatalities. The findings underscore the disproportionate rates at which transgender individuals, particularly women of colour, are subjected to fatal violence, emphasising the need for continued advocacy and protective measures for these communities.</w:t>
      </w:r>
      <w:r/>
    </w:p>
    <w:p>
      <w:pPr>
        <w:pStyle w:val="ListNumber"/>
        <w:spacing w:line="240" w:lineRule="auto"/>
        <w:ind w:left="720"/>
      </w:pPr>
      <w:r/>
      <w:hyperlink r:id="rId12">
        <w:r>
          <w:rPr>
            <w:color w:val="0000EE"/>
            <w:u w:val="single"/>
          </w:rPr>
          <w:t>https://factually.co/fact-checks/society/homicide-assault-rates-transgender-vs-cisgender-us-2023-2025-175c3b</w:t>
        </w:r>
      </w:hyperlink>
      <w:r>
        <w:t xml:space="preserve"> - An analysis of homicide and assault rates between transgender and cisgender individuals in the U.S. from 2023 to 2025 reveals that transgender people experience significantly higher rates of non-fatal violent victimisation compared to their cisgender counterparts. While the absolute number of transgender homicides remains relatively low, these incidents are notably concentrated among Black transgender women. The report highlights challenges in accurately calculating population-normalised homicide rates due to inconsistent reporting and methodological variations across different studies and trackers.</w:t>
      </w:r>
      <w:r/>
    </w:p>
    <w:p>
      <w:pPr>
        <w:pStyle w:val="ListNumber"/>
        <w:spacing w:line="240" w:lineRule="auto"/>
        <w:ind w:left="720"/>
      </w:pPr>
      <w:r/>
      <w:hyperlink r:id="rId13">
        <w:r>
          <w:rPr>
            <w:color w:val="0000EE"/>
            <w:u w:val="single"/>
          </w:rPr>
          <w:t>https://factually.co/fact-checks/justice/homicide-assault-rates-transgender-vs-cisgender-us-2023-2025-8ab720</w:t>
        </w:r>
      </w:hyperlink>
      <w:r>
        <w:t xml:space="preserve"> - This report examines the disparities in homicide and assault rates between transgender and cisgender individuals in the United States from 2023 to 2025. It finds that transgender people are at a markedly higher risk of violent crime, with studies indicating a fourfold increase compared to cisgender individuals. The analysis also notes that while homicide counts for transgender and gender-expansive people are in the dozens, precise, population-normalised homicide rates are difficult to determine due to inconsistent reporting and recent federal survey changes that exclude gender-identity questions.</w:t>
      </w:r>
      <w:r/>
    </w:p>
    <w:p>
      <w:pPr>
        <w:pStyle w:val="ListNumber"/>
        <w:spacing w:line="240" w:lineRule="auto"/>
        <w:ind w:left="720"/>
      </w:pPr>
      <w:r/>
      <w:hyperlink r:id="rId11">
        <w:r>
          <w:rPr>
            <w:color w:val="0000EE"/>
            <w:u w:val="single"/>
          </w:rPr>
          <w:t>https://www.cdc.gov/mmwr/volumes/73/su/su7304a6.htm</w:t>
        </w:r>
      </w:hyperlink>
      <w:r>
        <w:t xml:space="preserve"> - The Centers for Disease Control and Prevention's 2023 Youth Risk Behavior Survey provides the first nationally representative data on transgender high school students. The survey reveals that 3.3% of U.S. high school students identify as transgender, and 2.2% as questioning. Transgender and questioning students report higher incidences of violence, poor mental health, suicidal thoughts and behaviours, and unstable housing compared to their cisgender peers. Additionally, 40% of transgender and questioning students experienced bullying at school, and 69% of questioning students and 72% of transgender students reported persistent feelings of sadness or hopelessness.</w:t>
      </w:r>
      <w:r/>
    </w:p>
    <w:p>
      <w:pPr>
        <w:pStyle w:val="ListNumber"/>
        <w:spacing w:line="240" w:lineRule="auto"/>
        <w:ind w:left="720"/>
      </w:pPr>
      <w:r/>
      <w:hyperlink r:id="rId10">
        <w:r>
          <w:rPr>
            <w:color w:val="0000EE"/>
            <w:u w:val="single"/>
          </w:rPr>
          <w:t>https://reports.hrc.org/an-epidemic-of-violence-2023</w:t>
        </w:r>
      </w:hyperlink>
      <w:r>
        <w:t xml:space="preserve"> - The Human Rights Campaign's 2023 report on the epidemic of violence against transgender and gender non-conforming individuals in the U.S. indicates that since 2013, at least 279 transgender women have lost their lives to fatal violence, accounting for over 83% of all cases identified. The report also highlights that Black transgender women are disproportionately affected by this violence, underscoring the need for targeted interventions and support for these communities.</w:t>
      </w:r>
      <w:r/>
    </w:p>
    <w:p>
      <w:pPr>
        <w:pStyle w:val="ListNumber"/>
        <w:spacing w:line="240" w:lineRule="auto"/>
        <w:ind w:left="720"/>
      </w:pPr>
      <w:r/>
      <w:hyperlink r:id="rId14">
        <w:r>
          <w:rPr>
            <w:color w:val="0000EE"/>
            <w:u w:val="single"/>
          </w:rPr>
          <w:t>https://manhattan.institute/article/trans-criminals-the-problem-we-refuse-to-define-2</w:t>
        </w:r>
      </w:hyperlink>
      <w:r>
        <w:t xml:space="preserve"> - An article from the Manhattan Institute discusses the challenges in defining and addressing crimes committed by transgender individuals. It highlights various incidents involving transgender offenders, ranging from theft to violent acts, and critiques the lack of clear definitions and data on transgender-related crimes. The piece calls for a more nuanced understanding and better data collection to inform public safety policies and discussions surrounding transgender individuals and criminality.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hrc.org/press-releases/hrc-foundation-report-epidemic-of-violence-continues-transgender-and-gender-nonconforming-people-still-killed-at-disproportionate-rates-in-2023" TargetMode="External"/><Relationship Id="rId10" Type="http://schemas.openxmlformats.org/officeDocument/2006/relationships/hyperlink" Target="https://reports.hrc.org/an-epidemic-of-violence-2023" TargetMode="External"/><Relationship Id="rId11" Type="http://schemas.openxmlformats.org/officeDocument/2006/relationships/hyperlink" Target="https://www.cdc.gov/mmwr/volumes/73/su/su7304a6.htm" TargetMode="External"/><Relationship Id="rId12" Type="http://schemas.openxmlformats.org/officeDocument/2006/relationships/hyperlink" Target="https://factually.co/fact-checks/society/homicide-assault-rates-transgender-vs-cisgender-us-2023-2025-175c3b" TargetMode="External"/><Relationship Id="rId13" Type="http://schemas.openxmlformats.org/officeDocument/2006/relationships/hyperlink" Target="https://factually.co/fact-checks/justice/homicide-assault-rates-transgender-vs-cisgender-us-2023-2025-8ab720" TargetMode="External"/><Relationship Id="rId14" Type="http://schemas.openxmlformats.org/officeDocument/2006/relationships/hyperlink" Target="https://manhattan.institute/article/trans-criminals-the-problem-we-refuse-to-define-2" TargetMode="External"/><Relationship Id="rId15" Type="http://schemas.openxmlformats.org/officeDocument/2006/relationships/hyperlink" Target="https://pjmedia.com/matt-margolis/2026/09/23/liberal-paper-debunks-the-myth-of-trans-genocide-in-the-united-states-n495757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