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LGBTQI+ Mental Health Report Reveals Barriers in Ireland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seeking LGBTQI+-friendly mental health support in Ireland are often left relying on personal recommendations, while cost, limited trust and long waits make care harder to reach. A new LGBT Ireland and UCD report highlights why clearer information and better-trained providers matter, particularly for trans and gender non-conforming people.</w:t>
      </w:r>
      <w:r/>
    </w:p>
    <w:p>
      <w:pPr>
        <w:pStyle w:val="Heading2"/>
      </w:pPr>
      <w:r>
        <w:t>Essential Takeaways</w:t>
      </w:r>
      <w:r/>
      <w:r/>
    </w:p>
    <w:p>
      <w:pPr>
        <w:pStyle w:val="ListBullet"/>
        <w:spacing w:line="240" w:lineRule="auto"/>
        <w:ind w:left="720"/>
      </w:pPr>
      <w:r/>
      <w:r>
        <w:rPr>
          <w:b/>
        </w:rPr>
        <w:t>Word of mouth leads:</w:t>
      </w:r>
      <w:r>
        <w:t xml:space="preserve"> 70% of respondents found out about mental health services through personal recommendations rather than official signposting.</w:t>
      </w:r>
      <w:r/>
    </w:p>
    <w:p>
      <w:pPr>
        <w:pStyle w:val="ListBullet"/>
        <w:spacing w:line="240" w:lineRule="auto"/>
        <w:ind w:left="720"/>
      </w:pPr>
      <w:r/>
      <w:r>
        <w:rPr>
          <w:b/>
        </w:rPr>
        <w:t>Trust remains low:</w:t>
      </w:r>
      <w:r>
        <w:t xml:space="preserve"> 40% of LGBTQI+ respondents considered services trustworthy, falling to 13% among trans respondents.</w:t>
      </w:r>
      <w:r/>
    </w:p>
    <w:p>
      <w:pPr>
        <w:pStyle w:val="ListBullet"/>
        <w:spacing w:line="240" w:lineRule="auto"/>
        <w:ind w:left="720"/>
      </w:pPr>
      <w:r/>
      <w:r>
        <w:rPr>
          <w:b/>
        </w:rPr>
        <w:t>Cost blocks care:</w:t>
      </w:r>
      <w:r>
        <w:t xml:space="preserve"> Almost half had delayed or avoided support because of expense in the previous year.</w:t>
      </w:r>
      <w:r/>
    </w:p>
    <w:p>
      <w:pPr>
        <w:pStyle w:val="ListBullet"/>
        <w:spacing w:line="240" w:lineRule="auto"/>
        <w:ind w:left="720"/>
      </w:pPr>
      <w:r/>
      <w:r>
        <w:rPr>
          <w:b/>
        </w:rPr>
        <w:t>Trans people face sharper obstacles:</w:t>
      </w:r>
      <w:r>
        <w:t xml:space="preserve"> 65% of trans respondents reported avoiding care because of cost.</w:t>
      </w:r>
      <w:r/>
    </w:p>
    <w:p>
      <w:pPr>
        <w:pStyle w:val="ListBullet"/>
        <w:spacing w:line="240" w:lineRule="auto"/>
        <w:ind w:left="720"/>
      </w:pPr>
      <w:r/>
      <w:r>
        <w:rPr>
          <w:b/>
        </w:rPr>
        <w:t>Training is a priority:</w:t>
      </w:r>
      <w:r>
        <w:t xml:space="preserve"> The report calls for clearer information and consistent LGBTQI+ competency among providers.</w:t>
      </w:r>
      <w:r/>
      <w:r/>
    </w:p>
    <w:p>
      <w:pPr>
        <w:pStyle w:val="Heading2"/>
      </w:pPr>
      <w:r>
        <w:t>Finding the right therapist can start with asking around</w:t>
      </w:r>
      <w:r/>
    </w:p>
    <w:p>
      <w:r/>
      <w:r>
        <w:t>For many LGBTQI+ people in Ireland, the first step towards mental health support isn't a straightforward search online. It's a quiet message to a friend, a question in a community group or a recommendation passed between people who already know which services feel safe.</w:t>
      </w:r>
      <w:r/>
    </w:p>
    <w:p>
      <w:r/>
      <w:r>
        <w:t>The Hidden Barriers report, produced by LGBT Ireland with University College Dublin, found that 70% of respondents had learned about mental health services through word of mouth. Official information and signposting played a much smaller role, according to the report.</w:t>
      </w:r>
      <w:r/>
    </w:p>
    <w:p>
      <w:r/>
      <w:r>
        <w:t>That matters because personal networks aren't equally available to everyone. Someone who is isolated, newly out or living away from LGBTQI+ community spaces may have no trusted person to ask. Older research indexed by PubMed has also explored how minority stress and access to appropriate support can shape LGBTQ+ people's mental health experiences.</w:t>
      </w:r>
      <w:r/>
    </w:p>
    <w:p>
      <w:pPr>
        <w:pStyle w:val="Heading2"/>
      </w:pPr>
      <w:r>
        <w:t>Trust is the missing ingredient in many services</w:t>
      </w:r>
      <w:r/>
    </w:p>
    <w:p>
      <w:r/>
      <w:r>
        <w:t>A service can technically be available but still feel out of reach if people worry they'll need to explain their identity before they can discuss their mental health. The Irish findings show a clear confidence gap: 40% of LGBTQI+ respondents said mental health services were trustworthy, compared with 60% of cisgender heterosexual respondents.</w:t>
      </w:r>
      <w:r/>
    </w:p>
    <w:p>
      <w:r/>
      <w:r>
        <w:t>The difference was especially stark among trans respondents, just 13% of whom expressed trust in services. That figure suggests the problem isn't simply awareness. It's also about whether people expect to be understood, respected and treated without having to educate a provider from scratch.</w:t>
      </w:r>
      <w:r/>
    </w:p>
    <w:p>
      <w:r/>
      <w:r>
        <w:t>Research published in the Journal of Nursing Management has examined the importance of inclusive practice and professional confidence when supporting LGBTQ+ patients. In everyday terms, good intentions aren't enough if training isn't consistent.</w:t>
      </w:r>
      <w:r/>
    </w:p>
    <w:p>
      <w:pPr>
        <w:pStyle w:val="Heading2"/>
      </w:pPr>
      <w:r>
        <w:t>Cost and waiting lists turn need into delay</w:t>
      </w:r>
      <w:r/>
    </w:p>
    <w:p>
      <w:r/>
      <w:r>
        <w:t>Money is another powerful barrier. Almost half of LGBTQI+ respondents said they'd postponed or avoided mental health care because of cost during the previous 12 months. Among trans respondents, the proportion rose to 65%.</w:t>
      </w:r>
      <w:r/>
    </w:p>
    <w:p>
      <w:r/>
      <w:r>
        <w:t>Those figures land differently depending on a person's circumstances. Someone already dealing with discrimination, insecure work or family rejection may have less room in the budget for private therapy, while long public waiting lists can make urgent support feel frustratingly distant.</w:t>
      </w:r>
      <w:r/>
    </w:p>
    <w:p>
      <w:r/>
      <w:r>
        <w:t>Mental Health Reform has previously reported dissatisfaction with mental health services among LGBTI+ people, while government research has also examined the experiences of LGBTQI+ people with disabilities. Together, these findings point to overlapping disadvantages rather than one isolated access problem.</w:t>
      </w:r>
      <w:r/>
    </w:p>
    <w:p>
      <w:pPr>
        <w:pStyle w:val="Heading2"/>
      </w:pPr>
      <w:r>
        <w:t>What LGBTQI+-competent care should look like</w:t>
      </w:r>
      <w:r/>
    </w:p>
    <w:p>
      <w:r/>
      <w:r>
        <w:t>The report's central message isn't that every practitioner must be an expert in every aspect of queer life. It is that people should be able to identify providers with relevant training and feel confident that basic knowledge won't be missing.</w:t>
      </w:r>
      <w:r/>
    </w:p>
    <w:p>
      <w:r/>
      <w:r>
        <w:t>That could mean clearer directories, straightforward referral information and visible statements about inclusive practice. It should also include training that covers sexual orientation, gender identity, pronouns, transition-related concerns and the impact of stigma, without reducing a person's whole story to their identity.</w:t>
      </w:r>
      <w:r/>
    </w:p>
    <w:p>
      <w:r/>
      <w:r>
        <w:t>For anyone looking for support now, it can help to ask a prospective provider about LGBTQI+ experience before booking. Questions about confidentiality, pronouns, fees, cancellation policies and waiting times are practical rather than awkward, and the answers can reveal whether a service feels suitable.</w:t>
      </w:r>
      <w:r/>
    </w:p>
    <w:p>
      <w:pPr>
        <w:pStyle w:val="Heading2"/>
      </w:pPr>
      <w:r>
        <w:t>Better signposting could make support feel possible</w:t>
      </w:r>
      <w:r/>
    </w:p>
    <w:p>
      <w:r/>
      <w:r>
        <w:t>LGBT Ireland's EQUICARES campaign is intended to help reduce mental health inequalities, and the report gives policymakers, providers and community organisations a useful set of priorities. Better signposting won't solve affordability or staffing shortages on its own, but it can remove one needless layer of uncertainty.</w:t>
      </w:r>
      <w:r/>
    </w:p>
    <w:p>
      <w:r/>
      <w:r>
        <w:t>The organisation has stressed that the findings should inform policy and service design, with practitioners and LGBTQI+ support workers also reflecting on what more inclusive provision requires. That combination of evidence and lived experience is important. Statistics show the scale of the issue, while community voices explain what the numbers feel like in real life.</w:t>
      </w:r>
      <w:r/>
    </w:p>
    <w:p>
      <w:r/>
      <w:r>
        <w:t>Nobody should need a private referral network to find a therapist who understands them. Making that route clearer would be a modest change with a very human payoff.</w:t>
      </w:r>
      <w:r/>
    </w:p>
    <w:p>
      <w:r/>
      <w:r>
        <w:t>It's a small step towards mental health support that feels safer, fairer and easier to find.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2">
        <w:r>
          <w:rPr>
            <w:color w:val="0000EE"/>
            <w:u w:val="single"/>
          </w:rPr>
          <w:t>[4]</w:t>
        </w:r>
      </w:hyperlink>
      <w:r>
        <w:t xml:space="preserve">- Paragraph 4: </w:t>
      </w:r>
      <w:hyperlink r:id="rId9">
        <w:r>
          <w:rPr>
            <w:color w:val="0000EE"/>
            <w:u w:val="single"/>
          </w:rPr>
          <w:t>[2]</w:t>
        </w:r>
      </w:hyperlink>
      <w:r>
        <w:t xml:space="preserve">, </w:t>
      </w:r>
      <w:hyperlink r:id="rId13">
        <w:r>
          <w:rPr>
            <w:color w:val="0000EE"/>
            <w:u w:val="single"/>
          </w:rPr>
          <w:t>[7]</w:t>
        </w:r>
      </w:hyperlink>
      <w:r>
        <w:t xml:space="preserve">- Paragraph 5: </w:t>
      </w:r>
      <w:hyperlink r:id="rId14">
        <w:r>
          <w:rPr>
            <w:color w:val="0000EE"/>
            <w:u w:val="single"/>
          </w:rPr>
          <w:t>[5]</w:t>
        </w:r>
      </w:hyperlink>
      <w:r>
        <w:t xml:space="preserve">, </w:t>
      </w:r>
      <w:hyperlink r:id="rId10">
        <w:r>
          <w:rPr>
            <w:color w:val="0000EE"/>
            <w:u w:val="single"/>
          </w:rPr>
          <w:t>[6]</w:t>
        </w:r>
      </w:hyperlink>
      <w:r>
        <w:t xml:space="preserve">- Paragraph 6: </w:t>
      </w:r>
      <w:hyperlink r:id="rId9">
        <w:r>
          <w:rPr>
            <w:color w:val="0000EE"/>
            <w:u w:val="single"/>
          </w:rPr>
          <w:t>[2]</w:t>
        </w:r>
      </w:hyperlink>
      <w:r>
        <w:t xml:space="preserve">, </w:t>
      </w:r>
      <w:hyperlink r:id="rId12">
        <w:r>
          <w:rPr>
            <w:color w:val="0000EE"/>
            <w:u w:val="single"/>
          </w:rPr>
          <w:t>[4]</w:t>
        </w:r>
      </w:hyperlink>
      <w:r>
        <w:t xml:space="preserve">- Paragraph 7: </w:t>
      </w:r>
      <w:hyperlink r:id="rId9">
        <w:r>
          <w:rPr>
            <w:color w:val="0000EE"/>
            <w:u w:val="single"/>
          </w:rPr>
          <w:t>[2]</w:t>
        </w:r>
      </w:hyperlink>
      <w:r>
        <w:t xml:space="preserve">, </w:t>
      </w:r>
      <w:hyperlink r:id="rId14">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[6]</w:t>
        </w:r>
      </w:hyperlink>
      <w:r>
        <w:t xml:space="preserve">- Paragraph 9: </w:t>
      </w:r>
      <w:hyperlink r:id="rId9">
        <w:r>
          <w:rPr>
            <w:color w:val="0000EE"/>
            <w:u w:val="single"/>
          </w:rPr>
          <w:t>[2]</w:t>
        </w:r>
      </w:hyperlink>
      <w:r>
        <w:t xml:space="preserve">, </w:t>
      </w:r>
      <w:hyperlink r:id="rId12">
        <w:r>
          <w:rPr>
            <w:color w:val="0000EE"/>
            <w:u w:val="single"/>
          </w:rPr>
          <w:t>[4]</w:t>
        </w:r>
      </w:hyperlink>
      <w:r>
        <w:t xml:space="preserve">- Paragraph 10: </w:t>
      </w:r>
      <w:hyperlink r:id="rId9">
        <w:r>
          <w:rPr>
            <w:color w:val="0000EE"/>
            <w:u w:val="single"/>
          </w:rPr>
          <w:t>[2]</w:t>
        </w:r>
      </w:hyperlink>
      <w:r>
        <w:t xml:space="preserve">, </w:t>
      </w:r>
      <w:hyperlink r:id="rId14">
        <w:r>
          <w:rPr>
            <w:color w:val="0000EE"/>
            <w:u w:val="single"/>
          </w:rPr>
          <w:t>[5]</w:t>
        </w:r>
      </w:hyperlink>
      <w:r>
        <w:t xml:space="preserve">- Paragraph 11: </w:t>
      </w:r>
      <w:hyperlink r:id="rId9">
        <w:r>
          <w:rPr>
            <w:color w:val="0000EE"/>
            <w:u w:val="single"/>
          </w:rPr>
          <w:t>[2]</w:t>
        </w:r>
      </w:hyperlink>
      <w:r>
        <w:t xml:space="preserve">, </w:t>
      </w:r>
      <w:hyperlink r:id="rId10">
        <w:r>
          <w:rPr>
            <w:color w:val="0000EE"/>
            <w:u w:val="single"/>
          </w:rPr>
          <w:t>[6]</w:t>
        </w:r>
      </w:hyperlink>
      <w:r>
        <w:t xml:space="preserve">- Paragraph 12: </w:t>
      </w:r>
      <w:hyperlink r:id="rId9">
        <w:r>
          <w:rPr>
            <w:color w:val="0000EE"/>
            <w:u w:val="single"/>
          </w:rPr>
          <w:t>[2]</w:t>
        </w:r>
      </w:hyperlink>
      <w:r>
        <w:t xml:space="preserve">, </w:t>
      </w:r>
      <w:hyperlink r:id="rId13">
        <w:r>
          <w:rPr>
            <w:color w:val="0000EE"/>
            <w:u w:val="single"/>
          </w:rPr>
          <w:t>[7]</w:t>
        </w:r>
      </w:hyperlink>
      <w:r>
        <w:t xml:space="preserve">- Paragraph 13: </w:t>
      </w:r>
      <w:hyperlink r:id="rId9">
        <w:r>
          <w:rPr>
            <w:color w:val="0000EE"/>
            <w:u w:val="single"/>
          </w:rPr>
          <w:t>[2]</w:t>
        </w:r>
      </w:hyperlink>
      <w:r>
        <w:t xml:space="preserve">, </w:t>
      </w:r>
      <w:hyperlink r:id="rId14">
        <w:r>
          <w:rPr>
            <w:color w:val="0000EE"/>
            <w:u w:val="single"/>
          </w:rPr>
          <w:t>[5]</w:t>
        </w:r>
      </w:hyperlink>
      <w:r>
        <w:t xml:space="preserve">- Paragraph 14: </w:t>
      </w:r>
      <w:hyperlink r:id="rId9">
        <w:r>
          <w:rPr>
            <w:color w:val="0000EE"/>
            <w:u w:val="single"/>
          </w:rPr>
          <w:t>[2]</w:t>
        </w:r>
      </w:hyperlink>
      <w:r>
        <w:t xml:space="preserve">, </w:t>
      </w:r>
      <w:hyperlink r:id="rId10">
        <w:r>
          <w:rPr>
            <w:color w:val="0000EE"/>
            <w:u w:val="single"/>
          </w:rPr>
          <w:t>[6]</w:t>
        </w:r>
      </w:hyperlink>
      <w:r>
        <w:t xml:space="preserve">- Paragraph 15: </w:t>
      </w:r>
      <w:hyperlink r:id="rId9">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https://gcn.ie/lgbtq-barriers-mental-health-services-ireland/</w:t>
        </w:r>
      </w:hyperlink>
      <w:r>
        <w:t xml:space="preserve"> - Please view link - unable to able to access data</w:t>
      </w:r>
      <w:r/>
    </w:p>
    <w:p>
      <w:pPr>
        <w:pStyle w:val="ListNumber"/>
        <w:spacing w:line="240" w:lineRule="auto"/>
        <w:ind w:left="720"/>
      </w:pPr>
      <w:r/>
      <w:hyperlink r:id="rId9">
        <w:r>
          <w:rPr>
            <w:color w:val="0000EE"/>
            <w:u w:val="single"/>
          </w:rPr>
          <w:t>https://gcn.ie/lgbtq-barriers-mental-health-services-ireland/</w:t>
        </w:r>
      </w:hyperlink>
      <w:r>
        <w:t xml:space="preserve"> - This article discusses the 'Hidden Barriers' report by LGBT Ireland and University College Dublin, highlighting challenges faced by LGBTQI+ individuals in accessing mental health services in Ireland. Key findings include: 70% of respondents learned about services through word-of-mouth; 40% of queer respondents trust mental health services, compared to 60% of cisgender, heterosexual respondents; and nearly 50% of LGBTQI+ respondents delayed or avoided care due to cost, with 65% of trans respondents reporting the same. The report underscores the need for LGBTQI+-competent providers and standardised training.</w:t>
      </w:r>
      <w:r/>
    </w:p>
    <w:p>
      <w:pPr>
        <w:pStyle w:val="ListNumber"/>
        <w:spacing w:line="240" w:lineRule="auto"/>
        <w:ind w:left="720"/>
      </w:pPr>
      <w:r/>
      <w:hyperlink r:id="rId11">
        <w:r>
          <w:rPr>
            <w:color w:val="0000EE"/>
            <w:u w:val="single"/>
          </w:rPr>
          <w:t>https://pubmed.ncbi.nlm.nih.gov/23473079/</w:t>
        </w:r>
      </w:hyperlink>
      <w:r>
        <w:t xml:space="preserve"> - A study exploring the experiences of lesbian, gay, bisexual, and transgender (LGBT) individuals with mental health services in Ireland. Findings indicate that 63% of respondents felt able to be 'out' to practitioners, yet 64% believed mental health professionals lacked knowledge about LGBT issues, and 43% felt practitioners were unresponsive to their needs. The study highlights significant barriers and opportunities for improving mental health services for LGBT people in Ireland.</w:t>
      </w:r>
      <w:r/>
    </w:p>
    <w:p>
      <w:pPr>
        <w:pStyle w:val="ListNumber"/>
        <w:spacing w:line="240" w:lineRule="auto"/>
        <w:ind w:left="720"/>
      </w:pPr>
      <w:r/>
      <w:hyperlink r:id="rId12">
        <w:r>
          <w:rPr>
            <w:color w:val="0000EE"/>
            <w:u w:val="single"/>
          </w:rPr>
          <w:t>https://onlinelibrary.wiley.com/doi/abs/10.1111/jonm.13186</w:t>
        </w:r>
      </w:hyperlink>
      <w:r>
        <w:t xml:space="preserve"> - This research examines barriers to accessing mental health services in Ireland from the perspectives of young LGBT+ individuals aged 14–25. The study identifies interlinked barriers across individual, sociocultural, and mental health system levels. The authors advocate for cultural competency training for practitioners to address issues pertinent to LGBT+ young people, aiming to improve access to mental health services for this group.</w:t>
      </w:r>
      <w:r/>
    </w:p>
    <w:p>
      <w:pPr>
        <w:pStyle w:val="ListNumber"/>
        <w:spacing w:line="240" w:lineRule="auto"/>
        <w:ind w:left="720"/>
      </w:pPr>
      <w:r/>
      <w:hyperlink r:id="rId14">
        <w:r>
          <w:rPr>
            <w:color w:val="0000EE"/>
            <w:u w:val="single"/>
          </w:rPr>
          <w:t>https://www.gov.ie/en/department-of-children-disability-and-equality/publications/mental-health-in-the-irish-lgbtqi-population-with-disabilities-findings-from-the-being-lgbtqi-in-ireland-study/</w:t>
        </w:r>
      </w:hyperlink>
      <w:r>
        <w:t xml:space="preserve"> - A report prepared by Prof. Agnes Higgins, TCD, addressing the relationship between self-reported disabilities and mental distress within the LGBTQI+ population in Ireland. It draws on data from the 2022 national online survey 'Being LGBTQI+ in Ireland', outlining the prevalence of disabilities within the LGBTQI+ community and examining the relationship between reported disabilities and mental distress indicators in this group.</w:t>
      </w:r>
      <w:r/>
    </w:p>
    <w:p>
      <w:pPr>
        <w:pStyle w:val="ListNumber"/>
        <w:spacing w:line="240" w:lineRule="auto"/>
        <w:ind w:left="720"/>
      </w:pPr>
      <w:r/>
      <w:hyperlink r:id="rId10">
        <w:r>
          <w:rPr>
            <w:color w:val="0000EE"/>
            <w:u w:val="single"/>
          </w:rPr>
          <w:t>https://www.hse.ie/eng/services/list/4/mental-health-services/nosp/research/reports/lgbt-ireland.pdf</w:t>
        </w:r>
      </w:hyperlink>
      <w:r>
        <w:t xml:space="preserve"> - This report discusses barriers to mental health help-seeking among young people in Ireland, highlighting stigma and fear of judgment as major obstacles. It also notes that young people are largely unaware of youth-friendly services like Jigsaw, an accessible support service for young people provided in a low-stigma setting. The findings suggest a continued need to raise awareness of the types of support available to young people in distress in Ireland.</w:t>
      </w:r>
      <w:r/>
    </w:p>
    <w:p>
      <w:pPr>
        <w:pStyle w:val="ListNumber"/>
        <w:spacing w:line="240" w:lineRule="auto"/>
        <w:ind w:left="720"/>
      </w:pPr>
      <w:r/>
      <w:hyperlink r:id="rId13">
        <w:r>
          <w:rPr>
            <w:color w:val="0000EE"/>
            <w:u w:val="single"/>
          </w:rPr>
          <w:t>https://mentalhealthreform.ie/news/new-figures-show-43-of-lgbti-people-are-dissatisfied-with-mental-health-services/</w:t>
        </w:r>
      </w:hyperlink>
      <w:r>
        <w:t xml:space="preserve"> - Research published by Mental Health Reform in partnership with LGBT Ireland reveals that nearly half (43%) of LGBTI+ people have had a poor experience of HSE mental health services. The study highlights the need for LGBTI+ training and education for mental health service providers and increased investment in mental health services to improve the quality of treatment and care for people in the LGBTI+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lgbtq-barriers-mental-health-services-ireland/" TargetMode="External"/><Relationship Id="rId10" Type="http://schemas.openxmlformats.org/officeDocument/2006/relationships/hyperlink" Target="https://www.hse.ie/eng/services/list/4/mental-health-services/nosp/research/reports/lgbt-ireland.pdf" TargetMode="External"/><Relationship Id="rId11" Type="http://schemas.openxmlformats.org/officeDocument/2006/relationships/hyperlink" Target="https://pubmed.ncbi.nlm.nih.gov/23473079/" TargetMode="External"/><Relationship Id="rId12" Type="http://schemas.openxmlformats.org/officeDocument/2006/relationships/hyperlink" Target="https://onlinelibrary.wiley.com/doi/abs/10.1111/jonm.13186" TargetMode="External"/><Relationship Id="rId13" Type="http://schemas.openxmlformats.org/officeDocument/2006/relationships/hyperlink" Target="https://mentalhealthreform.ie/news/new-figures-show-43-of-lgbti-people-are-dissatisfied-with-mental-health-services/" TargetMode="External"/><Relationship Id="rId14" Type="http://schemas.openxmlformats.org/officeDocument/2006/relationships/hyperlink" Target="https://www.gov.ie/en/department-of-children-disability-and-equality/publications/mental-health-in-the-irish-lgbtqi-population-with-disabilities-findings-from-the-being-lgbtqi-in-ireland-stud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