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Push for Same-Sex Civil Marriage Grows in Mauritius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Campaigners in Mauritius are calling for same-sex couples to gain access to civil marriage, building on the country’s landmark 2023 decriminalisation ruling. With human-rights groups and international advocates adding their support, the debate is shifting from private relationships to equal legal recognition, protection and family rights.</w:t>
      </w:r>
      <w:r/>
    </w:p>
    <w:p>
      <w:pPr>
        <w:pStyle w:val="Heading2"/>
      </w:pPr>
      <w:r>
        <w:t>Essential Takeaways</w:t>
      </w:r>
      <w:r/>
      <w:r/>
    </w:p>
    <w:p>
      <w:pPr>
        <w:pStyle w:val="ListBullet"/>
        <w:spacing w:line="240" w:lineRule="auto"/>
        <w:ind w:left="720"/>
      </w:pPr>
      <w:r/>
      <w:r>
        <w:rPr>
          <w:b/>
        </w:rPr>
        <w:t>A new campaign is growing:</w:t>
      </w:r>
      <w:r>
        <w:t xml:space="preserve"> OUT Moris is urging Mauritius to recognise same-sex civil marriages.</w:t>
      </w:r>
      <w:r/>
    </w:p>
    <w:p>
      <w:pPr>
        <w:pStyle w:val="ListBullet"/>
        <w:spacing w:line="240" w:lineRule="auto"/>
        <w:ind w:left="720"/>
      </w:pPr>
      <w:r/>
      <w:r>
        <w:rPr>
          <w:b/>
        </w:rPr>
        <w:t>The legal backdrop has changed:</w:t>
      </w:r>
      <w:r>
        <w:t xml:space="preserve"> The Supreme Court decriminalised consensual same-sex intimacy between adult men in 2023.</w:t>
      </w:r>
      <w:r/>
    </w:p>
    <w:p>
      <w:pPr>
        <w:pStyle w:val="ListBullet"/>
        <w:spacing w:line="240" w:lineRule="auto"/>
        <w:ind w:left="720"/>
      </w:pPr>
      <w:r/>
      <w:r>
        <w:rPr>
          <w:b/>
        </w:rPr>
        <w:t>Civil, not religious, marriage is the focus:</w:t>
      </w:r>
      <w:r>
        <w:t xml:space="preserve"> Campaigners aren't asking faith groups to alter their ceremonies or beliefs.</w:t>
      </w:r>
      <w:r/>
    </w:p>
    <w:p>
      <w:pPr>
        <w:pStyle w:val="ListBullet"/>
        <w:spacing w:line="240" w:lineRule="auto"/>
        <w:ind w:left="720"/>
      </w:pPr>
      <w:r/>
      <w:r>
        <w:rPr>
          <w:b/>
        </w:rPr>
        <w:t>Human-rights concerns are mounting:</w:t>
      </w:r>
      <w:r>
        <w:t xml:space="preserve"> Mauritius’ National Human Rights Commission has questioned whether refusing registration could be discriminatory.</w:t>
      </w:r>
      <w:r/>
    </w:p>
    <w:p>
      <w:pPr>
        <w:pStyle w:val="ListBullet"/>
        <w:spacing w:line="240" w:lineRule="auto"/>
        <w:ind w:left="720"/>
      </w:pPr>
      <w:r/>
      <w:r>
        <w:rPr>
          <w:b/>
        </w:rPr>
        <w:t>The stakes are practical:</w:t>
      </w:r>
      <w:r>
        <w:t xml:space="preserve"> Marriage recognition can affect inheritance, property, family status and next-of-kin rights.</w:t>
      </w:r>
      <w:r/>
      <w:r/>
    </w:p>
    <w:p>
      <w:pPr>
        <w:pStyle w:val="Heading2"/>
      </w:pPr>
      <w:r>
        <w:t>Mauritius' next equality debate is about marriage</w:t>
      </w:r>
      <w:r/>
    </w:p>
    <w:p>
      <w:r/>
      <w:r>
        <w:t>The strongest argument for reform is also the most everyday one. A couple can share a home, build a life and support each other for decades, yet still face uncertainty over inheritance, medical decisions or legal recognition when it matters most.</w:t>
      </w:r>
      <w:r/>
    </w:p>
    <w:p>
      <w:r/>
      <w:r>
        <w:t>OUT Moris is leading the "Finn ariv ler" campaign, which translates as "The time has come". The organisation is calling for same-sex couples to access civil marriage on the same terms as different-sex couples, according to reporting by Gay Express and regional rights coverage.</w:t>
      </w:r>
      <w:r/>
    </w:p>
    <w:p>
      <w:r/>
      <w:r>
        <w:t>That distinction matters. The campaign is about the state’s civil registration system, not religious weddings, so it aims to keep questions of faith and worship separate from equal treatment under public law.</w:t>
      </w:r>
      <w:r/>
    </w:p>
    <w:p>
      <w:pPr>
        <w:pStyle w:val="Heading2"/>
      </w:pPr>
      <w:r>
        <w:t>A landmark court ruling opened the door</w:t>
      </w:r>
      <w:r/>
    </w:p>
    <w:p>
      <w:r/>
      <w:r>
        <w:t>Mauritius’ current debate follows a major Supreme Court decision in October 2023. The court found that the country’s colonial-era criminal law was unconstitutional insofar as it criminalised consensual sexual activity between adult men in private.</w:t>
      </w:r>
      <w:r/>
    </w:p>
    <w:p>
      <w:r/>
      <w:r>
        <w:t>The provision dated from 1838 and carried a possible prison sentence of up to five years. The ruling was welcomed by the United Nations Development Programme, UNAIDS and the University of Pretoria’s Centre for Human Rights as an important advance against discrimination.</w:t>
      </w:r>
      <w:r/>
    </w:p>
    <w:p>
      <w:r/>
      <w:r>
        <w:t>Human Rights Watch also described the decision as a finding that the law was discriminatory and unconstitutional. For campaigners, that legal shift created more than symbolic change. It established a fresh basis for asking whether other exclusions affecting LGBTQ+ people can withstand constitutional and human-rights scrutiny.</w:t>
      </w:r>
      <w:r/>
    </w:p>
    <w:p>
      <w:pPr>
        <w:pStyle w:val="Heading2"/>
      </w:pPr>
      <w:r>
        <w:t>Why civil marriage has practical consequences</w:t>
      </w:r>
      <w:r/>
    </w:p>
    <w:p>
      <w:r/>
      <w:r>
        <w:t>Marriage equality can sound like a headline issue, but its effects are often found in quiet paperwork. Recognition can influence inheritance, property ownership, next-of-kin status, family security and what happens when a relationship ends.</w:t>
      </w:r>
      <w:r/>
    </w:p>
    <w:p>
      <w:r/>
      <w:r>
        <w:t>Mauritius does not currently recognise same-sex marriage or civil unions. The gap can become particularly stark when a couple’s relationship is recognised abroad but not at home, leaving partners navigating two different legal realities.</w:t>
      </w:r>
      <w:r/>
    </w:p>
    <w:p>
      <w:r/>
      <w:r>
        <w:t>A position paper from Mauritius’ National Human Rights Commission has added weight to the campaign. The Commission noted that marriage law does not explicitly state that two people of the same sex cannot marry, and it raised concerns that refusing registration could amount to discrimination based on sexual orientation.</w:t>
      </w:r>
      <w:r/>
    </w:p>
    <w:p>
      <w:r/>
      <w:r>
        <w:t>That view doesn't itself change the law, but it gives activists a significant legal argument. It also turns the issue into a question of administrative fairness rather than simply a political promise.</w:t>
      </w:r>
      <w:r/>
    </w:p>
    <w:p>
      <w:pPr>
        <w:pStyle w:val="Heading2"/>
      </w:pPr>
      <w:r>
        <w:t>International backing adds pressure</w:t>
      </w:r>
      <w:r/>
    </w:p>
    <w:p>
      <w:r/>
      <w:r>
        <w:t>The UK-based Peter Tatchell Foundation has publicly supported the campaign, bringing an international voice to an issue that is already gathering domestic momentum. The Foundation’s executive officer, Pliny Soocoormanee, has a personal connection to the debate: his civil union is recognised in the United Kingdom but not in Mauritius.</w:t>
      </w:r>
      <w:r/>
    </w:p>
    <w:p>
      <w:r/>
      <w:r>
        <w:t>As reported by Mauritius News and Urania Institute, Soocoormanee has argued that LGBTQ+ people are seeking equal rights, not special treatment. He has also stressed that campaigners aren't asking religious institutions to officiate same-sex weddings or change their teachings.</w:t>
      </w:r>
      <w:r/>
    </w:p>
    <w:p>
      <w:r/>
      <w:r>
        <w:t>That framing could prove important in a country where marriage carries both civil and cultural meaning. Keeping the proposal focused on state recognition may help campaigners draw a clearer line between personal belief and public legal responsibility.</w:t>
      </w:r>
      <w:r/>
    </w:p>
    <w:p>
      <w:pPr>
        <w:pStyle w:val="Heading2"/>
      </w:pPr>
      <w:r>
        <w:t>Could Mauritius become another African milestone?</w:t>
      </w:r>
      <w:r/>
    </w:p>
    <w:p>
      <w:r/>
      <w:r>
        <w:t>Marriage equality remains rare across Africa. South Africa is still the continent’s only country where same-sex couples can marry nationwide, after legislation took effect in 2006.</w:t>
      </w:r>
      <w:r/>
    </w:p>
    <w:p>
      <w:r/>
      <w:r>
        <w:t>Yet the broader direction of LGBTQ+ rights isn't entirely static. Mauritius’ decriminalisation ruling showed that courts and human-rights institutions can challenge laws inherited from colonial rule, while legal challenges elsewhere are continuing. In Botswana, for example, a same-sex couple is contesting the exclusion of same-sex couples from marriage law.</w:t>
      </w:r>
      <w:r/>
    </w:p>
    <w:p>
      <w:r/>
      <w:r>
        <w:t>Mauritius now faces a different but connected test. Having removed one major criminal-law barrier, will it extend equal treatment into civil family law? The answer could shape not only couples’ daily security, but also the country’s reputation as a regional leader on rights.</w:t>
      </w:r>
      <w:r/>
    </w:p>
    <w:p>
      <w:r/>
      <w:r>
        <w:t>For many people involved, the emotional point is straightforward: love may be personal, but legal protection is public. A ceremony can be meaningful, yet the paperwork is what often protects a family when life becomes complicated.</w:t>
      </w:r>
      <w:r/>
    </w:p>
    <w:p>
      <w:r/>
      <w:r>
        <w:t>Civil equality now sits firmly on Mauritius’ agenda.</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3">
        <w:r>
          <w:rPr>
            <w:color w:val="0000EE"/>
            <w:u w:val="single"/>
          </w:rPr>
          <w:t>[3]</w:t>
        </w:r>
      </w:hyperlink>
      <w:r>
        <w:t xml:space="preserve">, </w:t>
      </w:r>
      <w:hyperlink r:id="rId14">
        <w:r>
          <w:rPr>
            <w:color w:val="0000EE"/>
            <w:u w:val="single"/>
          </w:rPr>
          <w:t>[4]</w:t>
        </w:r>
      </w:hyperlink>
      <w:r>
        <w:t xml:space="preserve">- Paragraph 3: </w:t>
      </w:r>
      <w:hyperlink r:id="rId15">
        <w:r>
          <w:rPr>
            <w:color w:val="0000EE"/>
            <w:u w:val="single"/>
          </w:rPr>
          <w:t>[7]</w:t>
        </w:r>
      </w:hyperlink>
      <w:r>
        <w:t xml:space="preserve">, </w:t>
      </w:r>
      <w:hyperlink r:id="rId11">
        <w:r>
          <w:rPr>
            <w:color w:val="0000EE"/>
            <w:u w:val="single"/>
          </w:rPr>
          <w:t>[6]</w:t>
        </w:r>
      </w:hyperlink>
      <w:r>
        <w:t xml:space="preserve">- Paragraph 4: </w:t>
      </w:r>
      <w:hyperlink r:id="rId10">
        <w:r>
          <w:rPr>
            <w:color w:val="0000EE"/>
            <w:u w:val="single"/>
          </w:rPr>
          <w:t>[5]</w:t>
        </w:r>
      </w:hyperlink>
      <w:r>
        <w:t xml:space="preserve">, </w:t>
      </w:r>
      <w:hyperlink r:id="rId11">
        <w:r>
          <w:rPr>
            <w:color w:val="0000EE"/>
            <w:u w:val="single"/>
          </w:rPr>
          <w:t>[6]</w:t>
        </w:r>
      </w:hyperlink>
      <w:r>
        <w:t xml:space="preserve">- Paragraph 5: </w:t>
      </w:r>
      <w:hyperlink r:id="rId12">
        <w:r>
          <w:rPr>
            <w:color w:val="0000EE"/>
            <w:u w:val="single"/>
          </w:rPr>
          <w:t>[2]</w:t>
        </w:r>
      </w:hyperlink>
      <w:r>
        <w:t xml:space="preserve">, </w:t>
      </w:r>
      <w:hyperlink r:id="rId13">
        <w:r>
          <w:rPr>
            <w:color w:val="0000EE"/>
            <w:u w:val="single"/>
          </w:rPr>
          <w:t>[3]</w:t>
        </w:r>
      </w:hyperlink>
      <w:r>
        <w:t xml:space="preserve">, </w:t>
      </w:r>
      <w:hyperlink r:id="rId14">
        <w:r>
          <w:rPr>
            <w:color w:val="0000EE"/>
            <w:u w:val="single"/>
          </w:rPr>
          <w:t>[4]</w:t>
        </w:r>
      </w:hyperlink>
      <w:r>
        <w:t xml:space="preserve">- Paragraph 6: </w:t>
      </w:r>
      <w:hyperlink r:id="rId15">
        <w:r>
          <w:rPr>
            <w:color w:val="0000EE"/>
            <w:u w:val="single"/>
          </w:rPr>
          <w:t>[7]</w:t>
        </w:r>
      </w:hyperlink>
      <w:r>
        <w:t xml:space="preserve">, </w:t>
      </w:r>
      <w:hyperlink r:id="rId12">
        <w:r>
          <w:rPr>
            <w:color w:val="0000EE"/>
            <w:u w:val="single"/>
          </w:rPr>
          <w:t>[2]</w:t>
        </w:r>
      </w:hyperlink>
      <w:r>
        <w:t xml:space="preserve">- Paragraph 7: </w:t>
      </w:r>
      <w:hyperlink r:id="rId10">
        <w:r>
          <w:rPr>
            <w:color w:val="0000EE"/>
            <w:u w:val="single"/>
          </w:rPr>
          <w:t>[5]</w:t>
        </w:r>
      </w:hyperlink>
      <w:r>
        <w:t xml:space="preserve">, </w:t>
      </w:r>
      <w:hyperlink r:id="rId11">
        <w:r>
          <w:rPr>
            <w:color w:val="0000EE"/>
            <w:u w:val="single"/>
          </w:rPr>
          <w:t>[6]</w:t>
        </w:r>
      </w:hyperlink>
      <w:r>
        <w:t xml:space="preserve">- Paragraph 8: </w:t>
      </w:r>
      <w:hyperlink r:id="rId10">
        <w:r>
          <w:rPr>
            <w:color w:val="0000EE"/>
            <w:u w:val="single"/>
          </w:rPr>
          <w:t>[5]</w:t>
        </w:r>
      </w:hyperlink>
      <w:r>
        <w:t xml:space="preserve">, </w:t>
      </w:r>
      <w:hyperlink r:id="rId11">
        <w:r>
          <w:rPr>
            <w:color w:val="0000EE"/>
            <w:u w:val="single"/>
          </w:rPr>
          <w:t>[6]</w:t>
        </w:r>
      </w:hyperlink>
      <w:r>
        <w:t xml:space="preserve">- Paragraph 9: </w:t>
      </w:r>
      <w:hyperlink r:id="rId12">
        <w:r>
          <w:rPr>
            <w:color w:val="0000EE"/>
            <w:u w:val="single"/>
          </w:rPr>
          <w:t>[2]</w:t>
        </w:r>
      </w:hyperlink>
      <w:r>
        <w:t xml:space="preserve">, </w:t>
      </w:r>
      <w:hyperlink r:id="rId13">
        <w:r>
          <w:rPr>
            <w:color w:val="0000EE"/>
            <w:u w:val="single"/>
          </w:rPr>
          <w:t>[3]</w:t>
        </w:r>
      </w:hyperlink>
      <w:r>
        <w:t xml:space="preserve">, </w:t>
      </w:r>
      <w:hyperlink r:id="rId14">
        <w:r>
          <w:rPr>
            <w:color w:val="0000EE"/>
            <w:u w:val="single"/>
          </w:rPr>
          <w:t>[4]</w:t>
        </w:r>
      </w:hyperlink>
      <w:r>
        <w:t xml:space="preserve">- Paragraph 10: </w:t>
      </w:r>
      <w:hyperlink r:id="rId15">
        <w:r>
          <w:rPr>
            <w:color w:val="0000EE"/>
            <w:u w:val="single"/>
          </w:rPr>
          <w:t>[7]</w:t>
        </w:r>
      </w:hyperlink>
      <w:r>
        <w:t xml:space="preserve">, </w:t>
      </w:r>
      <w:hyperlink r:id="rId11">
        <w:r>
          <w:rPr>
            <w:color w:val="0000EE"/>
            <w:u w:val="single"/>
          </w:rPr>
          <w:t>[6]</w:t>
        </w:r>
      </w:hyperlink>
      <w:r>
        <w:t xml:space="preserve">- Paragraph 11: </w:t>
      </w:r>
      <w:hyperlink r:id="rId10">
        <w:r>
          <w:rPr>
            <w:color w:val="0000EE"/>
            <w:u w:val="single"/>
          </w:rPr>
          <w:t>[5]</w:t>
        </w:r>
      </w:hyperlink>
      <w:r>
        <w:t xml:space="preserve">, </w:t>
      </w:r>
      <w:hyperlink r:id="rId11">
        <w:r>
          <w:rPr>
            <w:color w:val="0000EE"/>
            <w:u w:val="single"/>
          </w:rPr>
          <w:t>[6]</w:t>
        </w:r>
      </w:hyperlink>
      <w:r>
        <w:t xml:space="preserve">- Paragraph 12: </w:t>
      </w:r>
      <w:hyperlink r:id="rId10">
        <w:r>
          <w:rPr>
            <w:color w:val="0000EE"/>
            <w:u w:val="single"/>
          </w:rPr>
          <w:t>[5]</w:t>
        </w:r>
      </w:hyperlink>
      <w:r>
        <w:t xml:space="preserve">, </w:t>
      </w:r>
      <w:hyperlink r:id="rId11">
        <w:r>
          <w:rPr>
            <w:color w:val="0000EE"/>
            <w:u w:val="single"/>
          </w:rPr>
          <w:t>[6]</w:t>
        </w:r>
      </w:hyperlink>
      <w:r>
        <w:t xml:space="preserve">- Paragraph 13: </w:t>
      </w:r>
      <w:hyperlink r:id="rId10">
        <w:r>
          <w:rPr>
            <w:color w:val="0000EE"/>
            <w:u w:val="single"/>
          </w:rPr>
          <w:t>[5]</w:t>
        </w:r>
      </w:hyperlink>
      <w:r>
        <w:t xml:space="preserve">, </w:t>
      </w:r>
      <w:hyperlink r:id="rId11">
        <w:r>
          <w:rPr>
            <w:color w:val="0000EE"/>
            <w:u w:val="single"/>
          </w:rPr>
          <w:t>[6]</w:t>
        </w:r>
      </w:hyperlink>
      <w:r>
        <w:t xml:space="preserve">- Paragraph 14: </w:t>
      </w:r>
      <w:hyperlink r:id="rId12">
        <w:r>
          <w:rPr>
            <w:color w:val="0000EE"/>
            <w:u w:val="single"/>
          </w:rPr>
          <w:t>[2]</w:t>
        </w:r>
      </w:hyperlink>
      <w:r>
        <w:t xml:space="preserve">, </w:t>
      </w:r>
      <w:hyperlink r:id="rId13">
        <w:r>
          <w:rPr>
            <w:color w:val="0000EE"/>
            <w:u w:val="single"/>
          </w:rPr>
          <w:t>[3]</w:t>
        </w:r>
      </w:hyperlink>
      <w:r>
        <w:t xml:space="preserve">, </w:t>
      </w:r>
      <w:hyperlink r:id="rId14">
        <w:r>
          <w:rPr>
            <w:color w:val="0000EE"/>
            <w:u w:val="single"/>
          </w:rPr>
          <w:t>[4]</w:t>
        </w:r>
      </w:hyperlink>
      <w:r>
        <w:t xml:space="preserve">- Paragraph 15: </w:t>
      </w:r>
      <w:hyperlink r:id="rId15">
        <w:r>
          <w:rPr>
            <w:color w:val="0000EE"/>
            <w:u w:val="single"/>
          </w:rPr>
          <w:t>[7]</w:t>
        </w:r>
      </w:hyperlink>
      <w:r>
        <w:t xml:space="preserve">, </w:t>
      </w:r>
      <w:hyperlink r:id="rId11">
        <w:r>
          <w:rPr>
            <w:color w:val="0000EE"/>
            <w:u w:val="single"/>
          </w:rPr>
          <w:t>[6]</w:t>
        </w:r>
      </w:hyperlink>
      <w:r>
        <w:t xml:space="preserve">- Paragraph 16: </w:t>
      </w:r>
      <w:hyperlink r:id="rId10">
        <w:r>
          <w:rPr>
            <w:color w:val="0000EE"/>
            <w:u w:val="single"/>
          </w:rPr>
          <w:t>[5]</w:t>
        </w:r>
      </w:hyperlink>
      <w:r>
        <w:t xml:space="preserve">, </w:t>
      </w:r>
      <w:hyperlink r:id="rId11">
        <w:r>
          <w:rPr>
            <w:color w:val="0000EE"/>
            <w:u w:val="single"/>
          </w:rPr>
          <w:t>[6]</w:t>
        </w:r>
      </w:hyperlink>
      <w:r>
        <w:t xml:space="preserve">- Paragraph 17: </w:t>
      </w:r>
      <w:hyperlink r:id="rId10">
        <w:r>
          <w:rPr>
            <w:color w:val="0000EE"/>
            <w:u w:val="single"/>
          </w:rPr>
          <w:t>[5]</w:t>
        </w:r>
      </w:hyperlink>
      <w:r>
        <w:t xml:space="preserve">, </w:t>
      </w:r>
      <w:hyperlink r:id="rId11">
        <w:r>
          <w:rPr>
            <w:color w:val="0000EE"/>
            <w:u w:val="single"/>
          </w:rPr>
          <w:t>[6]</w:t>
        </w:r>
      </w:hyperlink>
      <w:r>
        <w:t xml:space="preserve">- Paragraph 18: </w:t>
      </w:r>
      <w:hyperlink r:id="rId12">
        <w:r>
          <w:rPr>
            <w:color w:val="0000EE"/>
            <w:u w:val="single"/>
          </w:rPr>
          <w:t>[2]</w:t>
        </w:r>
      </w:hyperlink>
      <w:r>
        <w:t xml:space="preserve">, </w:t>
      </w:r>
      <w:hyperlink r:id="rId13">
        <w:r>
          <w:rPr>
            <w:color w:val="0000EE"/>
            <w:u w:val="single"/>
          </w:rPr>
          <w:t>[3]</w:t>
        </w:r>
      </w:hyperlink>
      <w:r>
        <w:t xml:space="preserve">, </w:t>
      </w:r>
      <w:hyperlink r:id="rId14">
        <w:r>
          <w:rPr>
            <w:color w:val="0000EE"/>
            <w:u w:val="single"/>
          </w:rPr>
          <w:t>[4]</w:t>
        </w:r>
      </w:hyperlink>
      <w:r>
        <w:t xml:space="preserve">- Paragraph 19: </w:t>
      </w:r>
      <w:hyperlink r:id="rId15">
        <w:r>
          <w:rPr>
            <w:color w:val="0000EE"/>
            <w:u w:val="single"/>
          </w:rPr>
          <w:t>[7]</w:t>
        </w:r>
      </w:hyperlink>
      <w:r>
        <w:t xml:space="preserve">, </w:t>
      </w:r>
      <w:hyperlink r:id="rId11">
        <w:r>
          <w:rPr>
            <w:color w:val="0000EE"/>
            <w:u w:val="single"/>
          </w:rPr>
          <w:t>[6]</w:t>
        </w:r>
      </w:hyperlink>
      <w:r>
        <w:t xml:space="preserve">- Paragraph 20: </w:t>
      </w:r>
      <w:hyperlink r:id="rId10">
        <w:r>
          <w:rPr>
            <w:color w:val="0000EE"/>
            <w:u w:val="single"/>
          </w:rPr>
          <w:t>[5]</w:t>
        </w:r>
      </w:hyperlink>
      <w:r>
        <w:t xml:space="preserve">, </w:t>
      </w:r>
      <w:hyperlink r:id="rId11">
        <w:r>
          <w:rPr>
            <w:color w:val="0000EE"/>
            <w:u w:val="single"/>
          </w:rPr>
          <w:t>[6]</w:t>
        </w:r>
      </w:hyperlink>
      <w:r>
        <w:t xml:space="preserve">- Paragraph 21: </w:t>
      </w:r>
      <w:hyperlink r:id="rId10">
        <w:r>
          <w:rPr>
            <w:color w:val="0000EE"/>
            <w:u w:val="single"/>
          </w:rPr>
          <w:t>[5]</w:t>
        </w:r>
      </w:hyperlink>
      <w:r>
        <w:t xml:space="preserve">, </w:t>
      </w:r>
      <w:hyperlink r:id="rId11">
        <w:r>
          <w:rPr>
            <w:color w:val="0000EE"/>
            <w:u w:val="single"/>
          </w:rPr>
          <w:t>[6]</w:t>
        </w:r>
      </w:hyperlink>
      <w:r>
        <w:t xml:space="preserve">- Paragraph 22: </w:t>
      </w:r>
      <w:hyperlink r:id="rId12">
        <w:r>
          <w:rPr>
            <w:color w:val="0000EE"/>
            <w:u w:val="single"/>
          </w:rPr>
          <w:t>[2]</w:t>
        </w:r>
      </w:hyperlink>
      <w:r>
        <w:t xml:space="preserve">, </w:t>
      </w:r>
      <w:hyperlink r:id="rId13">
        <w:r>
          <w:rPr>
            <w:color w:val="0000EE"/>
            <w:u w:val="single"/>
          </w:rPr>
          <w:t>[3]</w:t>
        </w:r>
      </w:hyperlink>
      <w:r>
        <w:t xml:space="preserve">, </w:t>
      </w:r>
      <w:hyperlink r:id="rId14">
        <w:r>
          <w:rPr>
            <w:color w:val="0000EE"/>
            <w:u w:val="single"/>
          </w:rPr>
          <w:t>[4]</w:t>
        </w:r>
      </w:hyperlink>
      <w:r>
        <w:t xml:space="preserve">- Paragraph 23: </w:t>
      </w:r>
      <w:hyperlink r:id="rId15">
        <w:r>
          <w:rPr>
            <w:color w:val="0000EE"/>
            <w:u w:val="single"/>
          </w:rPr>
          <w:t>[7]</w:t>
        </w:r>
      </w:hyperlink>
      <w:r>
        <w:t xml:space="preserve">, </w:t>
      </w:r>
      <w:hyperlink r:id="rId11">
        <w:r>
          <w:rPr>
            <w:color w:val="0000EE"/>
            <w:u w:val="single"/>
          </w:rPr>
          <w:t>[6]</w:t>
        </w:r>
      </w:hyperlink>
      <w:r>
        <w:t xml:space="preserve">- Paragraph 24: </w:t>
      </w:r>
      <w:hyperlink r:id="rId10">
        <w:r>
          <w:rPr>
            <w:color w:val="0000EE"/>
            <w:u w:val="single"/>
          </w:rPr>
          <w:t>[5]</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https://gayexpress.co.nz/2026/09/marriage-equality-campaign-gains-momentum-in-mauritius/?utm_source=rss&amp;utm_medium=rss&amp;utm_campaign=marriage-equality-campaign-gains-momentum-in-mauritius</w:t>
        </w:r>
      </w:hyperlink>
      <w:r>
        <w:t xml:space="preserve"> - Please view link - unable to able to access data</w:t>
      </w:r>
      <w:r/>
    </w:p>
    <w:p>
      <w:pPr>
        <w:pStyle w:val="ListNumber"/>
        <w:spacing w:line="240" w:lineRule="auto"/>
        <w:ind w:left="720"/>
      </w:pPr>
      <w:r/>
      <w:hyperlink r:id="rId12">
        <w:r>
          <w:rPr>
            <w:color w:val="0000EE"/>
            <w:u w:val="single"/>
          </w:rPr>
          <w:t>https://www.undp.org/press-releases/supreme-court-mauritius-decriminalizes-same-sex-relations</w:t>
        </w:r>
      </w:hyperlink>
      <w:r>
        <w:t xml:space="preserve"> - In October 2023, the Supreme Court of Mauritius decriminalised same-sex relations by declaring Section 250 of the Criminal Code unconstitutional. The United Nations Development Programme (UNDP) welcomed this decision, highlighting its significance in promoting non-discrimination and human rights for the LGBTQ+ community in Mauritius. The ruling overturned a colonial-era law, marking a progressive step for the country.</w:t>
      </w:r>
      <w:r/>
    </w:p>
    <w:p>
      <w:pPr>
        <w:pStyle w:val="ListNumber"/>
        <w:spacing w:line="240" w:lineRule="auto"/>
        <w:ind w:left="720"/>
      </w:pPr>
      <w:r/>
      <w:hyperlink r:id="rId13">
        <w:r>
          <w:rPr>
            <w:color w:val="0000EE"/>
            <w:u w:val="single"/>
          </w:rPr>
          <w:t>https://www.chr.up.ac.za/news-archive/2023/3603-centre-for-human-rights-welcomes-decision-of-mauritius-supreme-court-to-decriminalise-consensual-same-sex-sexual-acts-between-adults</w:t>
        </w:r>
      </w:hyperlink>
      <w:r>
        <w:t xml:space="preserve"> - The Centre for Human Rights at the University of Pretoria praised the Supreme Court of Mauritius for decriminalising consensual same-sex sexual acts between adults. The Centre noted that the court's interpretation of the Constitution to include sexual orientation as a protected ground against discrimination was a significant advancement for human rights in Mauritius.</w:t>
      </w:r>
      <w:r/>
    </w:p>
    <w:p>
      <w:pPr>
        <w:pStyle w:val="ListNumber"/>
        <w:spacing w:line="240" w:lineRule="auto"/>
        <w:ind w:left="720"/>
      </w:pPr>
      <w:r/>
      <w:hyperlink r:id="rId14">
        <w:r>
          <w:rPr>
            <w:color w:val="0000EE"/>
            <w:u w:val="single"/>
          </w:rPr>
          <w:t>https://www.unaids.org/en/resources/presscentre/pressreleaseandstatementarchive/2023/october/20231004_mauritius_decriminalization</w:t>
        </w:r>
      </w:hyperlink>
      <w:r>
        <w:t xml:space="preserve"> - UNAIDS, along with other UN agencies, welcomed the Supreme Court of Mauritius's decision to decriminalise same-sex relations. The ruling, which struck down Section 250 of the Criminal Code, was seen as a crucial step towards ending the AIDS pandemic and advancing human rights for the LGBTQ+ community in Mauritius.</w:t>
      </w:r>
      <w:r/>
    </w:p>
    <w:p>
      <w:pPr>
        <w:pStyle w:val="ListNumber"/>
        <w:spacing w:line="240" w:lineRule="auto"/>
        <w:ind w:left="720"/>
      </w:pPr>
      <w:r/>
      <w:hyperlink r:id="rId10">
        <w:r>
          <w:rPr>
            <w:color w:val="0000EE"/>
            <w:u w:val="single"/>
          </w:rPr>
          <w:t>https://mauritius-news.com/article/uk-rights-group-backs-mauritius-push-for-same-sex-civil-marriage</w:t>
        </w:r>
      </w:hyperlink>
      <w:r>
        <w:t xml:space="preserve"> - The Peter Tatchell Foundation, a UK-based human rights organisation, has officially supported OUT Moris in their campaign to legalise same-sex civil marriage in Mauritius. This support follows a position paper from the National Human Rights Commission, which found no explicit legal ban on same-sex marriage registration in the country.</w:t>
      </w:r>
      <w:r/>
    </w:p>
    <w:p>
      <w:pPr>
        <w:pStyle w:val="ListNumber"/>
        <w:spacing w:line="240" w:lineRule="auto"/>
        <w:ind w:left="720"/>
      </w:pPr>
      <w:r/>
      <w:hyperlink r:id="rId11">
        <w:r>
          <w:rPr>
            <w:color w:val="0000EE"/>
            <w:u w:val="single"/>
          </w:rPr>
          <w:t>https://urania.institute/en/news/2026/0919-mauritius-marriage-equality/</w:t>
        </w:r>
      </w:hyperlink>
      <w:r>
        <w:t xml:space="preserve"> - A campaign to legalise same-sex civil marriages is gaining momentum in Mauritius. In July 2026, the National Human Rights Commission published a position paper stating that the refusal to register such unions could be considered discrimination, and there is no explicit ban on them in the country’s laws. The campaign, launched by OUT Moris, focuses exclusively on civil marriages and does not involve religious institutions.</w:t>
      </w:r>
      <w:r/>
    </w:p>
    <w:p>
      <w:pPr>
        <w:pStyle w:val="ListNumber"/>
        <w:spacing w:line="240" w:lineRule="auto"/>
        <w:ind w:left="720"/>
      </w:pPr>
      <w:r/>
      <w:hyperlink r:id="rId15">
        <w:r>
          <w:rPr>
            <w:color w:val="0000EE"/>
            <w:u w:val="single"/>
          </w:rPr>
          <w:t>https://www.hrw.org/news/2023/10/05/mauritian-court-finds-sodomy-law-unconstitutional-discriminatory</w:t>
        </w:r>
      </w:hyperlink>
      <w:r>
        <w:t xml:space="preserve"> - Human Rights Watch reported that the Supreme Court of Mauritius declared the country's sodomy law unconstitutional, marking a significant victory for the LGBTQ+ community. The court's decision was based on the interpretation that the prohibition of discrimination on grounds of 'sex' in the Constitution includes 'sexual orientation', thus decriminalising consensual same-sex relations between adults.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09/marriage-equality-campaign-gains-momentum-in-mauritius/?utm_source=rss&amp;utm_medium=rss&amp;utm_campaign=marriage-equality-campaign-gains-momentum-in-mauritius" TargetMode="External"/><Relationship Id="rId10" Type="http://schemas.openxmlformats.org/officeDocument/2006/relationships/hyperlink" Target="https://mauritius-news.com/article/uk-rights-group-backs-mauritius-push-for-same-sex-civil-marriage" TargetMode="External"/><Relationship Id="rId11" Type="http://schemas.openxmlformats.org/officeDocument/2006/relationships/hyperlink" Target="https://urania.institute/en/news/2026/0919-mauritius-marriage-equality/" TargetMode="External"/><Relationship Id="rId12" Type="http://schemas.openxmlformats.org/officeDocument/2006/relationships/hyperlink" Target="https://www.undp.org/press-releases/supreme-court-mauritius-decriminalizes-same-sex-relations" TargetMode="External"/><Relationship Id="rId13" Type="http://schemas.openxmlformats.org/officeDocument/2006/relationships/hyperlink" Target="https://www.chr.up.ac.za/news-archive/2023/3603-centre-for-human-rights-welcomes-decision-of-mauritius-supreme-court-to-decriminalise-consensual-same-sex-sexual-acts-between-adults" TargetMode="External"/><Relationship Id="rId14" Type="http://schemas.openxmlformats.org/officeDocument/2006/relationships/hyperlink" Target="https://www.unaids.org/en/resources/presscentre/pressreleaseandstatementarchive/2023/october/20231004_mauritius_decriminalization" TargetMode="External"/><Relationship Id="rId15" Type="http://schemas.openxmlformats.org/officeDocument/2006/relationships/hyperlink" Target="https://www.hrw.org/news/2023/10/05/mauritian-court-finds-sodomy-law-unconstitutional-discriminato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