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Kenya’s Legal Position on Gender Identity and Family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in Kenya are increasingly asking what happens when a relative transitions, especially when identity documents no longer match lived identity. The answer sits at the intersection of constitutional rights, medical evidence and evolving court decisions, with dignity, equality and fair treatment at the centre of the debate.</w:t>
      </w:r>
      <w:r/>
    </w:p>
    <w:p>
      <w:pPr>
        <w:pStyle w:val="Heading2"/>
      </w:pPr>
      <w:r>
        <w:t>Essential Takeaways</w:t>
      </w:r>
      <w:r/>
      <w:r/>
    </w:p>
    <w:p>
      <w:pPr>
        <w:pStyle w:val="ListBullet"/>
        <w:spacing w:line="240" w:lineRule="auto"/>
        <w:ind w:left="720"/>
      </w:pPr>
      <w:r/>
      <w:r>
        <w:rPr>
          <w:b/>
        </w:rPr>
        <w:t>Constitutional protection:</w:t>
      </w:r>
      <w:r>
        <w:t xml:space="preserve"> Kenya’s Constitution protects equality, dignity and freedom of expression.</w:t>
      </w:r>
      <w:r/>
    </w:p>
    <w:p>
      <w:pPr>
        <w:pStyle w:val="ListBullet"/>
        <w:spacing w:line="240" w:lineRule="auto"/>
        <w:ind w:left="720"/>
      </w:pPr>
      <w:r/>
      <w:r>
        <w:rPr>
          <w:b/>
        </w:rPr>
        <w:t>Three recognised markers:</w:t>
      </w:r>
      <w:r>
        <w:t xml:space="preserve"> Kenyan law and constitutional interpretation recognise male, female and intersex identities.</w:t>
      </w:r>
      <w:r/>
    </w:p>
    <w:p>
      <w:pPr>
        <w:pStyle w:val="ListBullet"/>
        <w:spacing w:line="240" w:lineRule="auto"/>
        <w:ind w:left="720"/>
      </w:pPr>
      <w:r/>
      <w:r>
        <w:rPr>
          <w:b/>
        </w:rPr>
        <w:t>No dedicated transition law:</w:t>
      </w:r>
      <w:r>
        <w:t xml:space="preserve"> There’s no single statute setting out a complete process for gender transition or marker changes.</w:t>
      </w:r>
      <w:r/>
    </w:p>
    <w:p>
      <w:pPr>
        <w:pStyle w:val="ListBullet"/>
        <w:spacing w:line="240" w:lineRule="auto"/>
        <w:ind w:left="720"/>
      </w:pPr>
      <w:r/>
      <w:r>
        <w:rPr>
          <w:b/>
        </w:rPr>
        <w:t>Courts are filling the gap:</w:t>
      </w:r>
      <w:r>
        <w:t xml:space="preserve"> Recent decisions suggest registrars must consider properly supported applications.</w:t>
      </w:r>
      <w:r/>
    </w:p>
    <w:p>
      <w:pPr>
        <w:pStyle w:val="ListBullet"/>
        <w:spacing w:line="240" w:lineRule="auto"/>
        <w:ind w:left="720"/>
      </w:pPr>
      <w:r/>
      <w:r>
        <w:rPr>
          <w:b/>
        </w:rPr>
        <w:t>Documents matter:</w:t>
      </w:r>
      <w:r>
        <w:t xml:space="preserve"> Mismatched records can make education, healthcare, travel and employment harder to access.</w:t>
      </w:r>
      <w:r/>
      <w:r/>
    </w:p>
    <w:p>
      <w:pPr>
        <w:pStyle w:val="Heading2"/>
      </w:pPr>
      <w:r>
        <w:t>A family relationship doesn’t disappear with transition</w:t>
      </w:r>
      <w:r/>
    </w:p>
    <w:p>
      <w:r/>
      <w:r>
        <w:t>The most important point is also the simplest: a person remains part of their family after transitioning. A change in name, appearance or gender marker doesn’t cancel a sibling, aunt, uncle or cousin relationship, even if relatives need time to adjust.</w:t>
      </w:r>
      <w:r/>
    </w:p>
    <w:p>
      <w:r/>
      <w:r>
        <w:t>Kenya’s Constitution protects human dignity and equal treatment. Article 27 bars discrimination, while Article 28 requires every person’s dignity to be respected. Article 33 also protects freedom of expression, which can include how someone presents and identifies themselves. Kenya Law’s published decisions show how these principles have increasingly shaped disputes about identity and official records.</w:t>
      </w:r>
      <w:r/>
    </w:p>
    <w:p>
      <w:r/>
      <w:r>
        <w:t>That doesn’t mean every family conversation will be easy. But disagreement isn’t a licence for humiliation, threats or exclusion. In practical terms, relatives can begin with respectful language, listen carefully and avoid treating private medical information as family gossip.</w:t>
      </w:r>
      <w:r/>
    </w:p>
    <w:p>
      <w:pPr>
        <w:pStyle w:val="Heading2"/>
      </w:pPr>
      <w:r>
        <w:t>Kenya’s legal framework is developing, not settled</w:t>
      </w:r>
      <w:r/>
    </w:p>
    <w:p>
      <w:r/>
      <w:r>
        <w:t>Kenya doesn’t currently have one detailed law governing gender transition or sex-reassignment surgery. Instead, people seeking recognition in an affirmed identity may have to rely on constitutional rights, administrative procedures and court interpretation.</w:t>
      </w:r>
      <w:r/>
    </w:p>
    <w:p>
      <w:r/>
      <w:r>
        <w:t>That legal gap can feel especially frustrating because official documents are used everywhere. A mismatch between a person’s appearance, name and records may lead to uncomfortable questioning or even prevent smooth access to services. Earlier Kenyan cases involving changes to names and identity details have recognised the importance of accurate documents in protecting dignity and fair administration.</w:t>
      </w:r>
      <w:r/>
    </w:p>
    <w:p>
      <w:r/>
      <w:r>
        <w:t>The result is a legal landscape that’s still being built case by case. Courts may offer remedies, but relying on litigation is expensive, slow and stressful, so clearer administrative guidance would make a meaningful difference.</w:t>
      </w:r>
      <w:r/>
    </w:p>
    <w:p>
      <w:pPr>
        <w:pStyle w:val="Heading2"/>
      </w:pPr>
      <w:r>
        <w:t>What recent court guidance means for identity documents</w:t>
      </w:r>
      <w:r/>
    </w:p>
    <w:p>
      <w:r/>
      <w:r>
        <w:t>The decision in AMI and others v Attorney General and others is significant because it addresses whether public registrars can consider applications to change sex or gender markers. The ruling indicates that administrative bodies have authority to receive and determine such requests where applicants provide relevant supporting material.</w:t>
      </w:r>
      <w:r/>
    </w:p>
    <w:p>
      <w:r/>
      <w:r>
        <w:t>That may include medical reports, psychological assessments and a deed poll, depending on the circumstances. The key point is that the absence of a detailed statutory procedure doesn’t automatically give an office permission to refuse an application without considering it. Kenyan legal reporting and case repositories record this broader principle in disputes concerning identity, dignity and fair administrative action.</w:t>
      </w:r>
      <w:r/>
    </w:p>
    <w:p>
      <w:r/>
      <w:r>
        <w:t>It’s worth stressing that this isn’t a guarantee that every application will be approved. Each case may turn on its evidence and the decision-making process used by the relevant authority. Anyone facing a refusal should seek advice from a qualified Kenyan advocate rather than relying on informal online guidance.</w:t>
      </w:r>
      <w:r/>
    </w:p>
    <w:p>
      <w:pPr>
        <w:pStyle w:val="Heading2"/>
      </w:pPr>
      <w:r>
        <w:t>Why accurate records can protect everyday dignity</w:t>
      </w:r>
      <w:r/>
    </w:p>
    <w:p>
      <w:r/>
      <w:r>
        <w:t>Identity documents aren’t abstract paperwork. They’re needed for school certificates, passports, banking, employment checks, healthcare and public services. When a record appears inconsistent with the person presenting it, ordinary tasks can become invasive and exhausting.</w:t>
      </w:r>
      <w:r/>
    </w:p>
    <w:p>
      <w:r/>
      <w:r>
        <w:t>Kenyan jurisprudence has previously supported corrections to official records where inaccurate or outdated details undermined a person’s dignity. Audrey Mbugua’s case, for example, helped establish that institutions may be required to amend identity details on academic documents when failing to do so violates constitutional rights. Related High Court decisions have also explored how public bodies should handle applications affecting personal identity.</w:t>
      </w:r>
      <w:r/>
    </w:p>
    <w:p>
      <w:r/>
      <w:r>
        <w:t>For families, the practical lesson is to avoid making the individual repeatedly explain themselves. Keep documents secure, gather professional evidence where required and use a consistent name and pronouns in everyday dealings. Small acts of respect can make a surprisingly large difference.</w:t>
      </w:r>
      <w:r/>
    </w:p>
    <w:p>
      <w:pPr>
        <w:pStyle w:val="Heading2"/>
      </w:pPr>
      <w:r>
        <w:t>The wider picture points towards clearer recognition</w:t>
      </w:r>
      <w:r/>
    </w:p>
    <w:p>
      <w:r/>
      <w:r>
        <w:t>Kenya isn’t debating these questions in isolation. The United Kingdom has a statutory gender-recognition process, while South Africa permits changes to sex descriptions and status under dedicated legislation. Elsewhere, courts have linked gender identity with privacy, autonomy and human dignity.</w:t>
      </w:r>
      <w:r/>
    </w:p>
    <w:p>
      <w:r/>
      <w:r>
        <w:t>Those international examples don’t automatically determine Kenyan law. They do, however, show how other legal systems have tried to replace uncertainty with defined procedures. The Indian Supreme Court’s recognition of gender identity as part of personal dignity is one example of a rights-based approach, while European human-rights decisions have reinforced the importance of official recognition.</w:t>
      </w:r>
      <w:r/>
    </w:p>
    <w:p>
      <w:r/>
      <w:r>
        <w:t>For Kenya, the likely direction will depend on future court cases, administrative practice and public debate. The law may continue to evolve, but the immediate standard is clear enough: treat people fairly, protect their dignity and don’t turn a family member’s identity into a public spectacle.</w:t>
      </w:r>
      <w:r/>
    </w:p>
    <w:p>
      <w:r/>
      <w:r>
        <w:t>Families may not understand every part of transition immediately, but respect is a reasonable place to start.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https://nation.africa/kenya/life-and-style/relationships/my-nephew-has-become-my-niece-what-does-the-law-say-about-this--5604760</w:t>
        </w:r>
      </w:hyperlink>
      <w:r>
        <w:t xml:space="preserve"> - Please view link - unable to able to access data</w:t>
      </w:r>
      <w:r/>
    </w:p>
    <w:p>
      <w:pPr>
        <w:pStyle w:val="ListNumber"/>
        <w:spacing w:line="240" w:lineRule="auto"/>
        <w:ind w:left="720"/>
      </w:pPr>
      <w:r/>
      <w:hyperlink r:id="rId10">
        <w:r>
          <w:rPr>
            <w:color w:val="0000EE"/>
            <w:u w:val="single"/>
          </w:rPr>
          <w:t>https://sheriahub.com/cases/ke/caselaw/ami-2-others-v-attorney-general-6-others-2026-kehc-6906-klr</w:t>
        </w:r>
      </w:hyperlink>
      <w:r>
        <w:t xml:space="preserve"> - The High Court of Kenya in the case of AMI &amp; 2 others v Attorney General &amp; 6 others [2026] KEHC 6906 (KLR) addressed the issue of altering sex or gender markers on civil registration documents. The court declared that the Births and Deaths Registration Act and the Registration of Persons Act do not expressly prohibit such alterations, affirming the right to dignity and personal choice under the Constitution. The court emphasized that administrative procedures should not limit an individual's rights and ordered relevant state agencies to consider applications for gender-marker changes.</w:t>
      </w:r>
      <w:r/>
    </w:p>
    <w:p>
      <w:pPr>
        <w:pStyle w:val="ListNumber"/>
        <w:spacing w:line="240" w:lineRule="auto"/>
        <w:ind w:left="720"/>
      </w:pPr>
      <w:r/>
      <w:hyperlink r:id="rId12">
        <w:r>
          <w:rPr>
            <w:color w:val="0000EE"/>
            <w:u w:val="single"/>
          </w:rPr>
          <w:t>https://kenyalaw.org/caselaw/cases/view/201389</w:t>
        </w:r>
      </w:hyperlink>
      <w:r>
        <w:t xml:space="preserve"> - In Petition 4 of 2020, the High Court at Kabarnet addressed the jurisdictional issue concerning employment matters. The court ruled that the Employment and Labour Relations Court has exclusive jurisdiction over employment disputes, dismissing the application for lack of jurisdiction. This case highlights the importance of proper court jurisdiction in handling employment-related matters under Kenyan law.</w:t>
      </w:r>
      <w:r/>
    </w:p>
    <w:p>
      <w:pPr>
        <w:pStyle w:val="ListNumber"/>
        <w:spacing w:line="240" w:lineRule="auto"/>
        <w:ind w:left="720"/>
      </w:pPr>
      <w:r/>
      <w:hyperlink r:id="rId11">
        <w:r>
          <w:rPr>
            <w:color w:val="0000EE"/>
            <w:u w:val="single"/>
          </w:rPr>
          <w:t>https://www.kelinkenya.org/petition-no-151-of-2020-cm-8-others-v-the-attorney-general-others/</w:t>
        </w:r>
      </w:hyperlink>
      <w:r>
        <w:t xml:space="preserve"> - Petition No. 151 of 2020 challenged the manner in which mandatory quarantine was implemented in Kenya. Filed by seven individuals under mandatory quarantine, the petition argued that the government's enforcement violated human rights and created public health risks. The petitioners sought the court's intervention to prevent unlawful detentions and ensure that human rights standards were respected in quarantine facilities.</w:t>
      </w:r>
      <w:r/>
    </w:p>
    <w:p>
      <w:pPr>
        <w:pStyle w:val="ListNumber"/>
        <w:spacing w:line="240" w:lineRule="auto"/>
        <w:ind w:left="720"/>
      </w:pPr>
      <w:r/>
      <w:hyperlink r:id="rId14">
        <w:r>
          <w:rPr>
            <w:color w:val="0000EE"/>
            <w:u w:val="single"/>
          </w:rPr>
          <w:t>https://sheria.net/case/akn/ke/judgment/kehc/2022/262</w:t>
        </w:r>
      </w:hyperlink>
      <w:r>
        <w:t xml:space="preserve"> - In PAK &amp; another v Attorney General &amp; 3 others [2022] KEHC 262 (KLR), the High Court of Kenya declared Sections 154, 159, and 160 of the Penal Code unconstitutional. The petitioners, PAK and Salim Mohammed, were arrested and prosecuted under these sections for performing an abortion. The court found that the provisions violated constitutional rights, leading to their invalidation.</w:t>
      </w:r>
      <w:r/>
    </w:p>
    <w:p>
      <w:pPr>
        <w:pStyle w:val="ListNumber"/>
        <w:spacing w:line="240" w:lineRule="auto"/>
        <w:ind w:left="720"/>
      </w:pPr>
      <w:r/>
      <w:hyperlink r:id="rId13">
        <w:r>
          <w:rPr>
            <w:color w:val="0000EE"/>
            <w:u w:val="single"/>
          </w:rPr>
          <w:t>https://new.kenyalaw.org/akn/ke/judgment/kehc/2020/10266</w:t>
        </w:r>
      </w:hyperlink>
      <w:r>
        <w:t xml:space="preserve"> - The case of Ramogi &amp; 3 others v Attorney General &amp; 4 others; Muslims for Human Rights &amp; 2 others (Interested Parties) [2020] KEHC 10266 (KLR) involved the consolidation of two petitions concerning constitutional and human rights issues. The court addressed various legal arguments, including the expansion of the petitioners' case by interested parties and the reliance on specific constitutional articles. The judgment provided clarity on the scope of petitions and the role of interested parties in constitutional matters.</w:t>
      </w:r>
      <w:r/>
    </w:p>
    <w:p>
      <w:pPr>
        <w:pStyle w:val="ListNumber"/>
        <w:spacing w:line="240" w:lineRule="auto"/>
        <w:ind w:left="720"/>
      </w:pPr>
      <w:r/>
      <w:hyperlink r:id="rId15">
        <w:r>
          <w:rPr>
            <w:color w:val="0000EE"/>
            <w:u w:val="single"/>
          </w:rPr>
          <w:t>https://new.kenyalaw.org/akn/ke/judgment/kehc/2020/3928/eng%402020-07-27</w:t>
        </w:r>
      </w:hyperlink>
      <w:r>
        <w:t xml:space="preserve"> - Citizens Against Violence (CAVI) &amp; 14 others v Attorney General &amp; 3 others [2020] KEHC 3928 (KLR) is a case that addressed issues related to unlawful police shootings during the Post-Election Violence (PEV). The petitioners sought declaratory orders for independent investigations into the shootings, highlighting violations of constitutional rights, including the right to life and freedom from torture. The case underscores the importance of accountability and human rights in law enforcement actions.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ation.africa/kenya/life-and-style/relationships/my-nephew-has-become-my-niece-what-does-the-law-say-about-this--5604760" TargetMode="External"/><Relationship Id="rId10" Type="http://schemas.openxmlformats.org/officeDocument/2006/relationships/hyperlink" Target="https://sheriahub.com/cases/ke/caselaw/ami-2-others-v-attorney-general-6-others-2026-kehc-6906-klr" TargetMode="External"/><Relationship Id="rId11" Type="http://schemas.openxmlformats.org/officeDocument/2006/relationships/hyperlink" Target="https://www.kelinkenya.org/petition-no-151-of-2020-cm-8-others-v-the-attorney-general-others/" TargetMode="External"/><Relationship Id="rId12" Type="http://schemas.openxmlformats.org/officeDocument/2006/relationships/hyperlink" Target="https://kenyalaw.org/caselaw/cases/view/201389" TargetMode="External"/><Relationship Id="rId13" Type="http://schemas.openxmlformats.org/officeDocument/2006/relationships/hyperlink" Target="https://new.kenyalaw.org/akn/ke/judgment/kehc/2020/10266" TargetMode="External"/><Relationship Id="rId14" Type="http://schemas.openxmlformats.org/officeDocument/2006/relationships/hyperlink" Target="https://sheria.net/case/akn/ke/judgment/kehc/2022/262" TargetMode="External"/><Relationship Id="rId15" Type="http://schemas.openxmlformats.org/officeDocument/2006/relationships/hyperlink" Target="https://new.kenyalaw.org/akn/ke/judgment/kehc/2020/3928/eng%402020-07-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