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Indonesia LGBTQI+ policy raises fears over rights and free speech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Indonesian defence policy has put LGBTQI+ expression in the spotlight, prompting Amnesty International Indonesia to warn that the classification could deepen discrimination, intimidate students and chill public debate. The controversy matters far beyond one regulation, as activists fear it may encourage harassment while narrowing space for education, journalism and peaceful expression.</w:t>
      </w:r>
      <w:r/>
    </w:p>
    <w:p>
      <w:pPr>
        <w:pStyle w:val="Heading2"/>
      </w:pPr>
      <w:r>
        <w:t>Essential Takeaways</w:t>
      </w:r>
      <w:r/>
      <w:r/>
    </w:p>
    <w:p>
      <w:pPr>
        <w:pStyle w:val="ListBullet"/>
        <w:spacing w:line="240" w:lineRule="auto"/>
        <w:ind w:left="720"/>
      </w:pPr>
      <w:r/>
      <w:r>
        <w:rPr>
          <w:b/>
        </w:rPr>
        <w:t>A new classification:</w:t>
      </w:r>
      <w:r>
        <w:t xml:space="preserve"> Presidential Regulation No. 111 of 2025 lists the spread of LGBTQI+ culture among perceived non-military threats to Indonesia.</w:t>
      </w:r>
      <w:r/>
    </w:p>
    <w:p>
      <w:pPr>
        <w:pStyle w:val="ListBullet"/>
        <w:spacing w:line="240" w:lineRule="auto"/>
        <w:ind w:left="720"/>
      </w:pPr>
      <w:r/>
      <w:r>
        <w:rPr>
          <w:b/>
        </w:rPr>
        <w:t>Human rights concerns:</w:t>
      </w:r>
      <w:r>
        <w:t xml:space="preserve"> Amnesty says the policy risks legitimising discrimination, threats and violence against LGBTQI+ people.</w:t>
      </w:r>
      <w:r/>
    </w:p>
    <w:p>
      <w:pPr>
        <w:pStyle w:val="ListBullet"/>
        <w:spacing w:line="240" w:lineRule="auto"/>
        <w:ind w:left="720"/>
      </w:pPr>
      <w:r/>
      <w:r>
        <w:rPr>
          <w:b/>
        </w:rPr>
        <w:t>Campus controversy:</w:t>
      </w:r>
      <w:r>
        <w:t xml:space="preserve"> A University of Indonesia student post discussing scientific evidence about homosexuality was removed after public criticism.</w:t>
      </w:r>
      <w:r/>
    </w:p>
    <w:p>
      <w:pPr>
        <w:pStyle w:val="ListBullet"/>
        <w:spacing w:line="240" w:lineRule="auto"/>
        <w:ind w:left="720"/>
      </w:pPr>
      <w:r/>
      <w:r>
        <w:rPr>
          <w:b/>
        </w:rPr>
        <w:t>Journalists targeted:</w:t>
      </w:r>
      <w:r>
        <w:t xml:space="preserve"> Student reporters covering Pride Month and identity issues reportedly faced doxxing, stalking and intimidation.</w:t>
      </w:r>
      <w:r/>
    </w:p>
    <w:p>
      <w:pPr>
        <w:pStyle w:val="ListBullet"/>
        <w:spacing w:line="240" w:lineRule="auto"/>
        <w:ind w:left="720"/>
      </w:pPr>
      <w:r/>
      <w:r>
        <w:rPr>
          <w:b/>
        </w:rPr>
        <w:t>Wider context:</w:t>
      </w:r>
      <w:r>
        <w:t xml:space="preserve"> Earlier reports of caning and flogging gay men highlight the harsh environment facing LGBTQI+ people in parts of Indonesia.</w:t>
      </w:r>
      <w:r/>
      <w:r/>
    </w:p>
    <w:p>
      <w:pPr>
        <w:pStyle w:val="Heading2"/>
      </w:pPr>
      <w:r>
        <w:t>Why the regulation has triggered such alarm</w:t>
      </w:r>
      <w:r/>
    </w:p>
    <w:p>
      <w:r/>
      <w:r>
        <w:t xml:space="preserve">The dispute centres on Presidential Regulation No. 111 of 2025, a document setting out Indonesia's general national defence policy for 2025 to 2029. According to the Library of Congress, the regulation places the spread of LGBTQI+ culture alongside other perceived non-military threats, including terrorism, separatism, radicalism and prohibited ideologies. That grouping has made the policy far more than a technical defence measure in the eyes of rights groups. </w:t>
      </w:r>
      <w:hyperlink r:id="rId9">
        <w:r>
          <w:rPr>
            <w:color w:val="0000EE"/>
            <w:u w:val="single"/>
          </w:rPr>
          <w:t>[5]</w:t>
        </w:r>
      </w:hyperlink>
      <w:r/>
    </w:p>
    <w:p>
      <w:r/>
      <w:r>
        <w:t xml:space="preserve">Amnesty International Indonesia says the wording risks turning prejudice into something that appears officially sanctioned. Its executive director, Usman Hamid, argued that treating LGBTQI+ culture as a threat could leave an already marginalised community more exposed to harassment and violence. The concern is practical as well as symbolic: once a label appears in state policy, hostile actors may feel emboldened. </w:t>
      </w:r>
      <w:hyperlink r:id="rId10">
        <w:r>
          <w:rPr>
            <w:color w:val="0000EE"/>
            <w:u w:val="single"/>
          </w:rPr>
          <w:t>[2]</w:t>
        </w:r>
      </w:hyperlink>
      <w:r/>
    </w:p>
    <w:p>
      <w:r/>
      <w:r>
        <w:t xml:space="preserve">The regulation was signed by President Prabowo Subianto in October 2025, but public attention intensified in July 2026 after a dispute over a university social media post. Reporting from Indonesian outlets shows how quickly the issue moved from a policy document into a national argument about identity, morality and the limits of speech. </w:t>
      </w:r>
      <w:hyperlink r:id="rId11">
        <w:r>
          <w:rPr>
            <w:color w:val="0000EE"/>
            <w:u w:val="single"/>
          </w:rPr>
          <w:t>[6]</w:t>
        </w:r>
      </w:hyperlink>
      <w:r/>
    </w:p>
    <w:p>
      <w:pPr>
        <w:pStyle w:val="Heading2"/>
      </w:pPr>
      <w:r>
        <w:t>A campus post became a national flashpoint</w:t>
      </w:r>
      <w:r/>
    </w:p>
    <w:p>
      <w:r/>
      <w:r>
        <w:t xml:space="preserve">The immediate controversy began with a post from the Student Executive Board at the University of Indonesia's Faculty of Psychology. It referred to the American Psychological Association's position that homosexuality isn't a mental disorder, presenting the point as science-based information rather than political campaigning. The post was later removed, although screenshots had already spread across social media. </w:t>
      </w:r>
      <w:hyperlink r:id="rId10">
        <w:r>
          <w:rPr>
            <w:color w:val="0000EE"/>
            <w:u w:val="single"/>
          </w:rPr>
          <w:t>[2]</w:t>
        </w:r>
      </w:hyperlink>
      <w:r/>
    </w:p>
    <w:p>
      <w:r/>
      <w:r>
        <w:t xml:space="preserve">Criticism followed from the Indonesian Ulema Council and several lawmakers. Amnesty says the episode raises serious questions about academic freedom and whether students can share established scientific information without being branded a threat. That's a worrying shift, particularly on a campus where debate and evidence should be part of the furniture. </w:t>
      </w:r>
      <w:hyperlink r:id="rId12">
        <w:r>
          <w:rPr>
            <w:color w:val="0000EE"/>
            <w:u w:val="single"/>
          </w:rPr>
          <w:t>[7]</w:t>
        </w:r>
      </w:hyperlink>
      <w:r/>
    </w:p>
    <w:p>
      <w:r/>
      <w:r>
        <w:t xml:space="preserve">The argument has also spilled into student journalism. Reports cited by Amnesty say members of the University of Indonesia student publication Suara Mahasiswa faced intimidation, doxxing and stalking after publishing material linked to Pride Month, sexual orientation and gender identity. Those allegations remain deeply troubling even before questions of criminal liability are settled, because anonymous pressure can silence people without a formal ban. </w:t>
      </w:r>
      <w:hyperlink r:id="rId10">
        <w:r>
          <w:rPr>
            <w:color w:val="0000EE"/>
            <w:u w:val="single"/>
          </w:rPr>
          <w:t>[2]</w:t>
        </w:r>
      </w:hyperlink>
      <w:r/>
    </w:p>
    <w:p>
      <w:pPr>
        <w:pStyle w:val="Heading2"/>
      </w:pPr>
      <w:r>
        <w:t>The human cost is not just online</w:t>
      </w:r>
      <w:r/>
    </w:p>
    <w:p>
      <w:r/>
      <w:r>
        <w:t xml:space="preserve">For LGBTQI+ Indonesians, the debate lands against a wider background of discrimination and punishment. Amnesty International previously described the flogging of two gay men in Aceh as a horrifying act of discrimination, while a later report called the caning of gay men an act of cruelty. These cases illustrate how legal and social hostility can become physical harm. </w:t>
      </w:r>
      <w:hyperlink r:id="rId13">
        <w:r>
          <w:rPr>
            <w:color w:val="0000EE"/>
            <w:u w:val="single"/>
          </w:rPr>
          <w:t>[3]</w:t>
        </w:r>
      </w:hyperlink>
      <w:r/>
    </w:p>
    <w:p>
      <w:r/>
      <w:r>
        <w:t xml:space="preserve">Aceh's local application of Islamic law is distinct from national policy, but the broader message still matters. When public officials, influential organisations or state institutions describe LGBTQI+ identities and expression as dangerous, people may reasonably fear that abuse will be ignored or excused. Amnesty has warned that both state and non-state actors have responsibilities to prevent threats and violence. </w:t>
      </w:r>
      <w:hyperlink r:id="rId14">
        <w:r>
          <w:rPr>
            <w:color w:val="0000EE"/>
            <w:u w:val="single"/>
          </w:rPr>
          <w:t>[4]</w:t>
        </w:r>
      </w:hyperlink>
      <w:r/>
    </w:p>
    <w:p>
      <w:r/>
      <w:r>
        <w:t>There is also a quieter consequence: self-censorship. Students may avoid writing about sexuality, editors may drop relevant stories and researchers may steer away from subjects likely to attract abuse. It doesn't take a formal prohibition to shrink public discussion; sometimes the threat of being identified is enough.</w:t>
      </w:r>
      <w:r/>
    </w:p>
    <w:p>
      <w:pPr>
        <w:pStyle w:val="Heading2"/>
      </w:pPr>
      <w:r>
        <w:t>What the policy means for free expression</w:t>
      </w:r>
      <w:r/>
    </w:p>
    <w:p>
      <w:r/>
      <w:r>
        <w:t xml:space="preserve">Indonesia ratified the International Covenant on Civil and Political Rights through Law No. 12 of 2005. Article 26 establishes equality before the law and protection from discrimination, a commitment Amnesty says should guide the government's response to LGBTQI+ people and critics of the regulation. </w:t>
      </w:r>
      <w:hyperlink r:id="rId10">
        <w:r>
          <w:rPr>
            <w:color w:val="0000EE"/>
            <w:u w:val="single"/>
          </w:rPr>
          <w:t>[2]</w:t>
        </w:r>
      </w:hyperlink>
      <w:r/>
    </w:p>
    <w:p>
      <w:r/>
      <w:r>
        <w:t xml:space="preserve">That legal context is central to the argument. Classifying expression about LGBTQI+ lives as a security concern may collide with protections for equality, speech and academic inquiry, particularly when the expression consists of medical or psychological information. The Library of Congress noted the significance of the regulation's wording because it places LGBTQI+ culture within a broader official framework of perceived national threats. </w:t>
      </w:r>
      <w:hyperlink r:id="rId9">
        <w:r>
          <w:rPr>
            <w:color w:val="0000EE"/>
            <w:u w:val="single"/>
          </w:rPr>
          <w:t>[5]</w:t>
        </w:r>
      </w:hyperlink>
      <w:r/>
    </w:p>
    <w:p>
      <w:r/>
      <w:r>
        <w:t>For ordinary readers, the distinction is worth keeping clear. Discussing sexual orientation, reporting on Pride Month or sharing a professional medical association's findings isn't the same as promoting violence or terrorism. Blurring those categories can make public debate less accurate, not more secure.</w:t>
      </w:r>
      <w:r/>
    </w:p>
    <w:p>
      <w:pPr>
        <w:pStyle w:val="Heading2"/>
      </w:pPr>
      <w:r>
        <w:t>What happens next?</w:t>
      </w:r>
      <w:r/>
    </w:p>
    <w:p>
      <w:r/>
      <w:r>
        <w:t xml:space="preserve">Amnesty International Indonesia is calling for the regulation to be withdrawn and for authorities to protect LGBTQI+ people from hate speech, threats and violence. It also wants the government to meet its constitutional and international human rights obligations. </w:t>
      </w:r>
      <w:hyperlink r:id="rId10">
        <w:r>
          <w:rPr>
            <w:color w:val="0000EE"/>
            <w:u w:val="single"/>
          </w:rPr>
          <w:t>[2]</w:t>
        </w:r>
      </w:hyperlink>
      <w:r/>
    </w:p>
    <w:p>
      <w:r/>
      <w:r>
        <w:t xml:space="preserve">The pressure will likely continue through universities, newsrooms and social media, where the practical limits of the policy are being tested in public. Earlier reports of punishment against gay men and the latest campus intimidation allegations suggest that the issue won't disappear simply because one post was deleted. </w:t>
      </w:r>
      <w:hyperlink r:id="rId13">
        <w:r>
          <w:rPr>
            <w:color w:val="0000EE"/>
            <w:u w:val="single"/>
          </w:rPr>
          <w:t>[3]</w:t>
        </w:r>
      </w:hyperlink>
      <w:r/>
    </w:p>
    <w:p>
      <w:r/>
      <w:r>
        <w:t>The immediate test is whether Indonesian authorities treat criticism and identity-related discussion as matters for open debate, or as security problems requiring suppression. For students and journalists especially, that choice could determine whether online spaces remain noisy and imperfect, or become quietly fearful.</w:t>
      </w:r>
      <w:r/>
    </w:p>
    <w:p>
      <w:r/>
      <w:r>
        <w:t>It's a small-looking policy phrase with consequences that could reach classrooms, newsrooms and everyday lives.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[2]</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[6]</w:t>
        </w:r>
      </w:hyperlink>
      <w:r>
        <w:t xml:space="preserve">, </w:t>
      </w:r>
      <w:hyperlink r:id="rId10">
        <w:r>
          <w:rPr>
            <w:color w:val="0000EE"/>
            <w:u w:val="single"/>
          </w:rPr>
          <w:t>[2]</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9">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0">
        <w:r>
          <w:rPr>
            <w:color w:val="0000EE"/>
            <w:u w:val="single"/>
          </w:rPr>
          <w:t>[2]</w:t>
        </w:r>
      </w:hyperlink>
      <w:r>
        <w:t xml:space="preserve">, </w:t>
      </w:r>
      <w:hyperlink r:id="rId9">
        <w:r>
          <w:rPr>
            <w:color w:val="0000EE"/>
            <w:u w:val="single"/>
          </w:rPr>
          <w:t>[5]</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0">
        <w:r>
          <w:rPr>
            <w:color w:val="0000EE"/>
            <w:u w:val="single"/>
          </w:rPr>
          <w:t>[2]</w:t>
        </w:r>
      </w:hyperlink>
      <w:r>
        <w:t xml:space="preserve">, </w:t>
      </w:r>
      <w:hyperlink r:id="rId9">
        <w:r>
          <w:rPr>
            <w:color w:val="0000EE"/>
            <w:u w:val="single"/>
          </w:rPr>
          <w:t>[5]</w:t>
        </w:r>
      </w:hyperlink>
      <w:r>
        <w:t xml:space="preserve">- Paragraph 10: </w:t>
      </w:r>
      <w:hyperlink r:id="rId10">
        <w:r>
          <w:rPr>
            <w:color w:val="0000EE"/>
            <w:u w:val="single"/>
          </w:rPr>
          <w:t>[2]</w:t>
        </w:r>
      </w:hyperlink>
      <w:r>
        <w:t xml:space="preserve">, </w:t>
      </w:r>
      <w:hyperlink r:id="rId13">
        <w:r>
          <w:rPr>
            <w:color w:val="0000EE"/>
            <w:u w:val="single"/>
          </w:rPr>
          <w:t>[3]</w:t>
        </w:r>
      </w:hyperlink>
      <w:r>
        <w:t xml:space="preserve">- Paragraph 11: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https://www.genocidewatch.com/single-post/indonesia-president-designates-spread-of-lgbtq-lgbtqi-culture-as-nonmilitary-threat</w:t>
        </w:r>
      </w:hyperlink>
      <w:r>
        <w:t xml:space="preserve"> - Please view link - unable to able to access data</w:t>
      </w:r>
      <w:r/>
    </w:p>
    <w:p>
      <w:pPr>
        <w:pStyle w:val="ListNumber"/>
        <w:spacing w:line="240" w:lineRule="auto"/>
        <w:ind w:left="720"/>
      </w:pPr>
      <w:r/>
      <w:hyperlink r:id="rId10">
        <w:r>
          <w:rPr>
            <w:color w:val="0000EE"/>
            <w:u w:val="single"/>
          </w:rPr>
          <w:t>https://www.amnesty.id/kabar-terbaru/siaran-pers/indonesia-president-designates-spread-of-lgbtq-lgbtqi-culture-as-nonmilitary-threat/07/2026/</w:t>
        </w:r>
      </w:hyperlink>
      <w:r>
        <w:t xml:space="preserve"> - Amnesty International Indonesia has expressed deep concern over Presidential Regulation No. 111 of 2025, which classifies the spread of LGBTQI+ culture as a non-military threat to the state. The regulation equates LGBTQI+ culture with terrorism, separatism, and radicalism, institutionalising discrimination against already marginalised groups. This legal framework fosters an environment where LGBTQI+ individuals are highly susceptible to immediate threats, discrimination, and harassment by both state and non-state actors. The regulation also leads to a chilling effect on freedom of expression and academic freedom, exemplified by the backlash against the Student Executive Board of the Faculty of Psychology at the University of Indonesia for sharing scientifically backed information that homosexuality is not a mental disorder. Amnesty International Indonesia calls for the repeal of this regulation and urges the government to uphold its constitutional mandates and international human rights treaties.</w:t>
      </w:r>
      <w:r/>
    </w:p>
    <w:p>
      <w:pPr>
        <w:pStyle w:val="ListNumber"/>
        <w:spacing w:line="240" w:lineRule="auto"/>
        <w:ind w:left="720"/>
      </w:pPr>
      <w:r/>
      <w:hyperlink r:id="rId13">
        <w:r>
          <w:rPr>
            <w:color w:val="0000EE"/>
            <w:u w:val="single"/>
          </w:rPr>
          <w:t>https://www.amnesty.org/en/latest/news/2025/02/indonesia-flogging-of-gay-men-a-horrifying-act-of-discrimination/</w:t>
        </w:r>
      </w:hyperlink>
      <w:r>
        <w:t xml:space="preserve"> - Amnesty International condemned the flogging of two university students in Indonesia's Aceh province for engaging in consensual same-sex relations. The organisation described the punishment as a horrifying act of discrimination, highlighting that consensual same-sex activity between adults should never be criminalised. The flogging was deemed cruel, inhuman, and degrading, potentially amounting to torture under international law. Amnesty International called on Aceh and Indonesian central government authorities to halt such practices and revoke the bylaws that permit them, emphasising that Aceh's regional autonomy should not come at the expense of human rights.</w:t>
      </w:r>
      <w:r/>
    </w:p>
    <w:p>
      <w:pPr>
        <w:pStyle w:val="ListNumber"/>
        <w:spacing w:line="240" w:lineRule="auto"/>
        <w:ind w:left="720"/>
      </w:pPr>
      <w:r/>
      <w:hyperlink r:id="rId14">
        <w:r>
          <w:rPr>
            <w:color w:val="0000EE"/>
            <w:u w:val="single"/>
          </w:rPr>
          <w:t>https://www.amnesty.org/en/latest/news/2025/08/indonesia-caning-of-gay-men-an-act-of-cruelty/</w:t>
        </w:r>
      </w:hyperlink>
      <w:r>
        <w:t xml:space="preserve"> - Amnesty International's Regional Research Director, Montse Ferrer, responded to the caning of two men in Banda Aceh for consensual same-sex relations, labelling it a disturbing act of state-sanctioned discrimination and cruelty. The organisation stated that consensual same-sex activity between adults should never be criminalised and that punishments like flogging are cruel, inhuman, and degrading, potentially amounting to torture under international law. Amnesty International called on Aceh and Indonesian central government authorities to immediately halt these practices and repeal all discriminatory bylaws that permit such violations, asserting that Aceh's regional autonomy must not come at the expense of human rights.</w:t>
      </w:r>
      <w:r/>
    </w:p>
    <w:p>
      <w:pPr>
        <w:pStyle w:val="ListNumber"/>
        <w:spacing w:line="240" w:lineRule="auto"/>
        <w:ind w:left="720"/>
      </w:pPr>
      <w:r/>
      <w:hyperlink r:id="rId9">
        <w:r>
          <w:rPr>
            <w:color w:val="0000EE"/>
            <w:u w:val="single"/>
          </w:rPr>
          <w:t>https://www.loc.gov/item/global-legal-monitor/2026-07-27/indonesia-presidential-regulation-designates-spread-of-lgbtq-culture-as-nonmilitary-state-threat/</w:t>
        </w:r>
      </w:hyperlink>
      <w:r>
        <w:t xml:space="preserve"> - A regulation signed by Indonesian President Prabowo Subianto in October 2025 has drawn recent media attention. It designates 'the dissemination of Lesbian, Gay, Bisexual, Transgender, and Queer (LGBTQ) culture' as a nonmilitary state threat. The BBC reported on July 6 that some media outlets have linked their coverage of the regulation to a recently announced plan by the Ulema Council of Indonesia (Majelis Ulama Indonesia, MUI), the country’s highest Islamic clerical authority, to draft a proposed bill for parliament that would criminalise the promotion of LGBTQ behaviour or rights. This announcement came in response to Pride Month celebrations in June 2026, particularly a social media post by a student board of the faculty of psychology at the University of Indonesia stating that there is no scientific evidence that homosexuality is a mental disorder or form of deviance.</w:t>
      </w:r>
      <w:r/>
    </w:p>
    <w:p>
      <w:pPr>
        <w:pStyle w:val="ListNumber"/>
        <w:spacing w:line="240" w:lineRule="auto"/>
        <w:ind w:left="720"/>
      </w:pPr>
      <w:r/>
      <w:hyperlink r:id="rId11">
        <w:r>
          <w:rPr>
            <w:color w:val="0000EE"/>
            <w:u w:val="single"/>
          </w:rPr>
          <w:t>https://voi.id/en/news/583332</w:t>
        </w:r>
      </w:hyperlink>
      <w:r>
        <w:t xml:space="preserve"> - President Prabowo Subianto has included the spread of Lesbian, Gay, Bisexual, Transgender, and Queer (LGBTQ) culture as one of the non-military threats in Presidential Regulation (Perpres) Number 111 of 2025 concerning the General Policy of State Defense for 2025-2029. The Presidential Decree was issued by President Prabowo Subianto on October 24, 2025, and promulgated on the same day by the Minister of State Secretary Prasetyo Hadi. The regulation was then recorded in the Indonesian Republic State Register Number 173 of 2025. In the annex to the Presidential Decree, the government divided threats to national defense into three groups: military threats, non-military threats, and hybrid threats.</w:t>
      </w:r>
      <w:r/>
    </w:p>
    <w:p>
      <w:pPr>
        <w:pStyle w:val="ListNumber"/>
        <w:spacing w:line="240" w:lineRule="auto"/>
        <w:ind w:left="720"/>
      </w:pPr>
      <w:r/>
      <w:hyperlink r:id="rId12">
        <w:r>
          <w:rPr>
            <w:color w:val="0000EE"/>
            <w:u w:val="single"/>
          </w:rPr>
          <w:t>https://indonesiasiaga.com/perpres-111-2025-lgbtqi-ancaman-nonmiliter-amnesty-peringatkan-dampak-diskriminatif/</w:t>
        </w:r>
      </w:hyperlink>
      <w:r>
        <w:t xml:space="preserve"> - On July 7, 2026, Indonesian media outlets widely reported on Presidential Regulation No. 111 of 2025 concerning the 2025-2029 General Policy for National Defense, which classifies the spread of LGBTQI+ culture as a non-military threat to the state. The regulation places it alongside other perceived threats, including the dissemination of prohibited ideologies, the erosion of nationalism, and the spread of atheism, separatism, terrorism, and radicalism. Amnesty International Indonesia expressed profound concern over this classification, stating that it institutionalises systematic discrimination against already marginalised people and fosters an environment where LGBTQI+ persons are highly susceptible to immediate threat, discrimination, and harassment by both state and non-state actors. The organisation called for the repeal of this regulation and urged the government to uphold its constitutional mandates and international human rights treaties.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c.gov/item/global-legal-monitor/2026-07-27/indonesia-presidential-regulation-designates-spread-of-lgbtq-culture-as-nonmilitary-state-threat/" TargetMode="External"/><Relationship Id="rId10" Type="http://schemas.openxmlformats.org/officeDocument/2006/relationships/hyperlink" Target="https://www.amnesty.id/kabar-terbaru/siaran-pers/indonesia-president-designates-spread-of-lgbtq-lgbtqi-culture-as-nonmilitary-threat/07/2026/" TargetMode="External"/><Relationship Id="rId11" Type="http://schemas.openxmlformats.org/officeDocument/2006/relationships/hyperlink" Target="https://voi.id/en/news/583332" TargetMode="External"/><Relationship Id="rId12" Type="http://schemas.openxmlformats.org/officeDocument/2006/relationships/hyperlink" Target="https://indonesiasiaga.com/perpres-111-2025-lgbtqi-ancaman-nonmiliter-amnesty-peringatkan-dampak-diskriminatif/" TargetMode="External"/><Relationship Id="rId13" Type="http://schemas.openxmlformats.org/officeDocument/2006/relationships/hyperlink" Target="https://www.amnesty.org/en/latest/news/2025/02/indonesia-flogging-of-gay-men-a-horrifying-act-of-discrimination/" TargetMode="External"/><Relationship Id="rId14" Type="http://schemas.openxmlformats.org/officeDocument/2006/relationships/hyperlink" Target="https://www.amnesty.org/en/latest/news/2025/08/indonesia-caning-of-gay-men-an-act-of-cruelty/" TargetMode="External"/><Relationship Id="rId15" Type="http://schemas.openxmlformats.org/officeDocument/2006/relationships/hyperlink" Target="https://www.genocidewatch.com/single-post/indonesia-president-designates-spread-of-lgbtq-lgbtqi-culture-as-nonmilitary-threa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