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Lesbian Domestic Abuse Needs Better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Survivors and advocates are highlighting a neglected reality: intimate-partner violence affects lesbian couples too, yet many services still fail to recognise their needs. Better training, safer referrals and more inclusive support could help victims find a way out.</w:t>
      </w:r>
      <w:r/>
    </w:p>
    <w:p>
      <w:pPr>
        <w:pStyle w:val="Heading2"/>
      </w:pPr>
      <w:r>
        <w:t>Essential Takeaways</w:t>
      </w:r>
      <w:r/>
      <w:r/>
    </w:p>
    <w:p>
      <w:pPr>
        <w:pStyle w:val="ListBullet"/>
        <w:spacing w:line="240" w:lineRule="auto"/>
        <w:ind w:left="720"/>
      </w:pPr>
      <w:r/>
      <w:r>
        <w:rPr>
          <w:b/>
        </w:rPr>
        <w:t>It happens at significant rates:</w:t>
      </w:r>
      <w:r>
        <w:t xml:space="preserve"> Research shows intimate-partner violence affects LGBTQ people across physical, emotional and sexual forms.</w:t>
      </w:r>
      <w:r/>
    </w:p>
    <w:p>
      <w:pPr>
        <w:pStyle w:val="ListBullet"/>
        <w:spacing w:line="240" w:lineRule="auto"/>
        <w:ind w:left="720"/>
      </w:pPr>
      <w:r/>
      <w:r>
        <w:rPr>
          <w:b/>
        </w:rPr>
        <w:t>Stereotypes can obscure abuse:</w:t>
      </w:r>
      <w:r>
        <w:t xml:space="preserve"> The assumption that men are always the perpetrators may mean lesbian survivors aren't believed or supported.</w:t>
      </w:r>
      <w:r/>
    </w:p>
    <w:p>
      <w:pPr>
        <w:pStyle w:val="ListBullet"/>
        <w:spacing w:line="240" w:lineRule="auto"/>
        <w:ind w:left="720"/>
      </w:pPr>
      <w:r/>
      <w:r>
        <w:rPr>
          <w:b/>
        </w:rPr>
        <w:t>Mental health matters:</w:t>
      </w:r>
      <w:r>
        <w:t xml:space="preserve"> Abuse can deepen anxiety, depression and trauma, while existing mental-health pressures may complicate a victim's situation.</w:t>
      </w:r>
      <w:r/>
    </w:p>
    <w:p>
      <w:pPr>
        <w:pStyle w:val="ListBullet"/>
        <w:spacing w:line="240" w:lineRule="auto"/>
        <w:ind w:left="720"/>
      </w:pPr>
      <w:r/>
      <w:r>
        <w:rPr>
          <w:b/>
        </w:rPr>
        <w:t>Services aren't always equipped:</w:t>
      </w:r>
      <w:r>
        <w:t xml:space="preserve"> Shelters, police and helplines need training that reflects same-sex relationships.</w:t>
      </w:r>
      <w:r/>
    </w:p>
    <w:p>
      <w:pPr>
        <w:pStyle w:val="ListBullet"/>
        <w:spacing w:line="240" w:lineRule="auto"/>
        <w:ind w:left="720"/>
      </w:pPr>
      <w:r/>
      <w:r>
        <w:rPr>
          <w:b/>
        </w:rPr>
        <w:t>Support should be active:</w:t>
      </w:r>
      <w:r>
        <w:t xml:space="preserve"> A leaflet alone isn't enough; survivors need clear, confidential routes to safety.</w:t>
      </w:r>
      <w:r/>
      <w:r/>
    </w:p>
    <w:p>
      <w:pPr>
        <w:pStyle w:val="Heading2"/>
      </w:pPr>
      <w:r>
        <w:t>The violence people still fail to see</w:t>
      </w:r>
      <w:r/>
    </w:p>
    <w:p>
      <w:r/>
      <w:r>
        <w:t>Domestic abuse doesn't always fit the picture many people have been taught to recognise. In lesbian relationships, that outdated script can make violence seem less serious, particularly when outsiders assume two women are unlikely to pose a physical threat to one another.</w:t>
      </w:r>
      <w:r/>
    </w:p>
    <w:p>
      <w:r/>
      <w:r>
        <w:t>That misunderstanding can be dangerous. Research indexed by PubMed has found that intimate-partner violence in same-sex relationships includes physical, sexual and psychological abuse, with consequences that can linger long after a relationship ends. The harm isn't softened by the gender of either partner, and a bruised sense of reality can be just as damaging as a visible injury.</w:t>
      </w:r>
      <w:r/>
    </w:p>
    <w:p>
      <w:r/>
      <w:r>
        <w:t>For survivors, the experience may also be confusing. Affection, apologies and periods of calm can sit alongside intimidation or assault, creating a cycle that's difficult to name from the inside. As the Human Rights Campaign notes, LGBTQ victims may face forms of abuse linked specifically to their identity, including threats to disclose their sexuality or isolate them from community support.</w:t>
      </w:r>
      <w:r/>
    </w:p>
    <w:p>
      <w:pPr>
        <w:pStyle w:val="Heading2"/>
      </w:pPr>
      <w:r>
        <w:t>Why identity can make leaving harder</w:t>
      </w:r>
      <w:r/>
    </w:p>
    <w:p>
      <w:r/>
      <w:r>
        <w:t>For some lesbian survivors, the relationship isn't the only source of pressure. Fear of homophobia, family rejection or being judged by their own community can make asking for help feel like opening another door to scrutiny.</w:t>
      </w:r>
      <w:r/>
    </w:p>
    <w:p>
      <w:r/>
      <w:r>
        <w:t>That may create what advocates describe as a layered form of isolation. Someone can be afraid of the abusive partner while also worrying that relatives, neighbours, police or shelter staff won't understand the relationship, or may treat the abuse as a mutual argument rather than a safeguarding issue.</w:t>
      </w:r>
      <w:r/>
    </w:p>
    <w:p>
      <w:r/>
      <w:r>
        <w:t>Studies have linked minority stress and weaker social support with poorer wellbeing among LGBTQ people. PubMed research also shows that sexual-minority adults can face elevated risks of depression, anxiety and other mental-health difficulties, which means a survivor may already be carrying substantial emotional weight before seeking help.</w:t>
      </w:r>
      <w:r/>
    </w:p>
    <w:p>
      <w:pPr>
        <w:pStyle w:val="Heading2"/>
      </w:pPr>
      <w:r>
        <w:t>Mental health is part of the picture, not an excuse</w:t>
      </w:r>
      <w:r/>
    </w:p>
    <w:p>
      <w:r/>
      <w:r>
        <w:t>Abuse and mental illness are often discussed together, but they shouldn't be confused. A partner's depression, panic disorder or ADHD may affect a household's stress levels, yet no diagnosis explains away coercion, threats or violence. Responsibility remains with the person choosing to harm or control another.</w:t>
      </w:r>
      <w:r/>
    </w:p>
    <w:p>
      <w:r/>
      <w:r>
        <w:t>At the same time, survivors may experience serious psychological fallout. Research has connected intimate-partner violence with depression, post-traumatic stress symptoms and reduced quality of life, while wider LGBTQ health research points to higher levels of mental-health vulnerability among sexual-minority groups.</w:t>
      </w:r>
      <w:r/>
    </w:p>
    <w:p>
      <w:r/>
      <w:r>
        <w:t>That combination can leave people feeling exhausted, watchful and unable to imagine ordinary life again. Support therefore needs to cover more than immediate physical safety. Trauma-informed counselling, practical housing advice and confidential mental-health care can all make recovery feel less like a cliff edge.</w:t>
      </w:r>
      <w:r/>
    </w:p>
    <w:p>
      <w:pPr>
        <w:pStyle w:val="Heading2"/>
      </w:pPr>
      <w:r>
        <w:t>Where police and shelters need to improve</w:t>
      </w:r>
      <w:r/>
    </w:p>
    <w:p>
      <w:r/>
      <w:r>
        <w:t>Reporting an incident is only one step. Survivors also need officers to recognise same-sex relationships, explain their options and make a meaningful referral to specialist support rather than simply handing over a leaflet.</w:t>
      </w:r>
      <w:r/>
    </w:p>
    <w:p>
      <w:r/>
      <w:r>
        <w:t>The Human Rights Campaign says LGBTQ victims can face distinctive barriers, including concerns about outing, discrimination and services that use language designed only around heterosexual couples. Those details matter. A form, poster or intake conversation that reflects a survivor's life can be the difference between staying silent and continuing to seek help.</w:t>
      </w:r>
      <w:r/>
    </w:p>
    <w:p>
      <w:r/>
      <w:r>
        <w:t>Shelters face particular challenges in small or rural communities, where there may be limited capacity and little anonymity. The research base on LGBTQ intimate-partner violence remains uneven, as the academic literature indexed by PubMed and SpringerLink makes clear, so policymakers need better data as well as better frontline training.</w:t>
      </w:r>
      <w:r/>
    </w:p>
    <w:p>
      <w:pPr>
        <w:pStyle w:val="Heading2"/>
      </w:pPr>
      <w:r>
        <w:t>What a more useful response looks like</w:t>
      </w:r>
      <w:r/>
    </w:p>
    <w:p>
      <w:r/>
      <w:r>
        <w:t>Training should cover coercive control, identity-based threats, pronoun use, confidentiality and the possibility that either partner may be the perpetrator. It should also teach staff how to ask questions privately, without assuming that a survivor's sexuality is public knowledge.</w:t>
      </w:r>
      <w:r/>
    </w:p>
    <w:p>
      <w:r/>
      <w:r>
        <w:t>Friends and bystanders have a role too. If something looks unsafe, a calm interruption, a call to emergency services or a discreet check-in can help. Nobody needs to play the hero, but ignoring a frightening scene can leave a victim feeling completely invisible.</w:t>
      </w:r>
      <w:r/>
    </w:p>
    <w:p>
      <w:r/>
      <w:r>
        <w:t>The broader lesson is straightforward: inclusive services aren't special treatment. They're competent services. When survivors see themselves reflected in the language, staff and options available, asking for help becomes a little less daunting.</w:t>
      </w:r>
      <w:r/>
    </w:p>
    <w:p>
      <w:r/>
      <w:r>
        <w:t>It's a small shift in recognition, but it can open a vital route to safety.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[5]</w:t>
        </w:r>
      </w:hyperlink>
      <w:r>
        <w:t xml:space="preserve">- Paragraph 3: </w:t>
      </w:r>
      <w:hyperlink r:id="rId10">
        <w:r>
          <w:rPr>
            <w:color w:val="0000EE"/>
            <w:u w:val="single"/>
          </w:rPr>
          <w:t>[3]</w:t>
        </w:r>
      </w:hyperlink>
      <w:r>
        <w:t xml:space="preserve">, </w:t>
      </w:r>
      <w:hyperlink r:id="rId14">
        <w:r>
          <w:rPr>
            <w:color w:val="0000EE"/>
            <w:u w:val="single"/>
          </w:rPr>
          <w:t>[6]</w:t>
        </w:r>
      </w:hyperlink>
      <w:r>
        <w:t xml:space="preserve">- Paragraph 4: </w:t>
      </w:r>
      <w:hyperlink r:id="rId13">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[3]</w:t>
        </w:r>
      </w:hyperlink>
      <w:r>
        <w:t xml:space="preserve">, </w:t>
      </w:r>
      <w:hyperlink r:id="rId13">
        <w:r>
          <w:rPr>
            <w:color w:val="0000EE"/>
            <w:u w:val="single"/>
          </w:rPr>
          <w:t>[5]</w:t>
        </w:r>
      </w:hyperlink>
      <w:r>
        <w:t xml:space="preserve">- Paragraph 8: </w:t>
      </w:r>
      <w:hyperlink r:id="rId12">
        <w:r>
          <w:rPr>
            <w:color w:val="0000EE"/>
            <w:u w:val="single"/>
          </w:rPr>
          <w:t>[2]</w:t>
        </w:r>
      </w:hyperlink>
      <w:r>
        <w:t xml:space="preserve">, </w:t>
      </w:r>
      <w:hyperlink r:id="rId14">
        <w:r>
          <w:rPr>
            <w:color w:val="0000EE"/>
            <w:u w:val="single"/>
          </w:rPr>
          <w:t>[6]</w:t>
        </w:r>
      </w:hyperlink>
      <w:r>
        <w:t xml:space="preserve">- Paragraph 9: </w:t>
      </w:r>
      <w:hyperlink r:id="rId11">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[3]</w:t>
        </w:r>
      </w:hyperlink>
      <w:r>
        <w:t xml:space="preserve">, </w:t>
      </w:r>
      <w:hyperlink r:id="rId13">
        <w:r>
          <w:rPr>
            <w:color w:val="0000EE"/>
            <w:u w:val="single"/>
          </w:rPr>
          <w:t>[5]</w:t>
        </w:r>
      </w:hyperlink>
      <w:r>
        <w:t xml:space="preserve">- Paragraph 11: </w:t>
      </w:r>
      <w:hyperlink r:id="rId12">
        <w:r>
          <w:rPr>
            <w:color w:val="0000EE"/>
            <w:u w:val="single"/>
          </w:rPr>
          <w:t>[2]</w:t>
        </w:r>
      </w:hyperlink>
      <w:r>
        <w:t xml:space="preserve">, </w:t>
      </w:r>
      <w:hyperlink r:id="rId15">
        <w:r>
          <w:rPr>
            <w:color w:val="0000EE"/>
            <w:u w:val="single"/>
          </w:rPr>
          <w:t>[7]</w:t>
        </w:r>
      </w:hyperlink>
      <w:r>
        <w:t xml:space="preserve">- Paragraph 12: </w:t>
      </w:r>
      <w:hyperlink r:id="rId10">
        <w:r>
          <w:rPr>
            <w:color w:val="0000EE"/>
            <w:u w:val="single"/>
          </w:rPr>
          <w:t>[3]</w:t>
        </w:r>
      </w:hyperlink>
      <w:r>
        <w:t xml:space="preserve">, </w:t>
      </w:r>
      <w:hyperlink r:id="rId14">
        <w:r>
          <w:rPr>
            <w:color w:val="0000EE"/>
            <w:u w:val="single"/>
          </w:rPr>
          <w:t>[6]</w:t>
        </w:r>
      </w:hyperlink>
      <w:r>
        <w:t xml:space="preserve">- Paragraph 13: </w:t>
      </w:r>
      <w:hyperlink r:id="rId11">
        <w:r>
          <w:rPr>
            <w:color w:val="0000EE"/>
            <w:u w:val="single"/>
          </w:rPr>
          <w:t>[4]</w:t>
        </w:r>
      </w:hyperlink>
      <w:r>
        <w:t xml:space="preserve">, </w:t>
      </w:r>
      <w:hyperlink r:id="rId15">
        <w:r>
          <w:rPr>
            <w:color w:val="0000EE"/>
            <w:u w:val="single"/>
          </w:rPr>
          <w:t>[7]</w:t>
        </w:r>
      </w:hyperlink>
      <w:r>
        <w:t xml:space="preserve">- Paragraph 14: </w:t>
      </w:r>
      <w:hyperlink r:id="rId12">
        <w:r>
          <w:rPr>
            <w:color w:val="0000EE"/>
            <w:u w:val="single"/>
          </w:rPr>
          <w:t>[2]</w:t>
        </w:r>
      </w:hyperlink>
      <w:r>
        <w:t xml:space="preserve">, </w:t>
      </w:r>
      <w:hyperlink r:id="rId10">
        <w:r>
          <w:rPr>
            <w:color w:val="0000EE"/>
            <w:u w:val="single"/>
          </w:rPr>
          <w:t>[3]</w:t>
        </w:r>
      </w:hyperlink>
      <w:r>
        <w:t xml:space="preserve">- Paragraph 15: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https://www.unclosetedmedia.com/p/for-lesbian-victims-of-domestic-violence</w:t>
        </w:r>
      </w:hyperlink>
      <w:r>
        <w:t xml:space="preserve"> - Please view link - unable to able to access data</w:t>
      </w:r>
      <w:r/>
    </w:p>
    <w:p>
      <w:pPr>
        <w:pStyle w:val="ListNumber"/>
        <w:spacing w:line="240" w:lineRule="auto"/>
        <w:ind w:left="720"/>
      </w:pPr>
      <w:r/>
      <w:hyperlink r:id="rId12">
        <w:r>
          <w:rPr>
            <w:color w:val="0000EE"/>
            <w:u w:val="single"/>
          </w:rPr>
          <w:t>https://pubmed.ncbi.nlm.nih.gov/29333967/</w:t>
        </w:r>
      </w:hyperlink>
      <w:r>
        <w:t xml:space="preserve"> - This meta-analysis examines risk markers for intimate partner violence (IPV) in same-sex relationships. The study identifies various factors that increase the likelihood of IPV among same-sex couples, highlighting the need for targeted interventions and support services tailored to these communities.</w:t>
      </w:r>
      <w:r/>
    </w:p>
    <w:p>
      <w:pPr>
        <w:pStyle w:val="ListNumber"/>
        <w:spacing w:line="240" w:lineRule="auto"/>
        <w:ind w:left="720"/>
      </w:pPr>
      <w:r/>
      <w:hyperlink r:id="rId10">
        <w:r>
          <w:rPr>
            <w:color w:val="0000EE"/>
            <w:u w:val="single"/>
          </w:rPr>
          <w:t>https://www.hrc.org/resources/understanding-intimate-partner-violence-in-the-lgbtq-community</w:t>
        </w:r>
      </w:hyperlink>
      <w:r>
        <w:t xml:space="preserve"> - The Human Rights Campaign provides an overview of IPV within the LGBTQ+ community, discussing its prevalence, impact on mental and physical health, and the unique challenges faced by LGBTQ+ individuals in seeking help. The resource emphasizes the importance of inclusive support services and awareness.</w:t>
      </w:r>
      <w:r/>
    </w:p>
    <w:p>
      <w:pPr>
        <w:pStyle w:val="ListNumber"/>
        <w:spacing w:line="240" w:lineRule="auto"/>
        <w:ind w:left="720"/>
      </w:pPr>
      <w:r/>
      <w:hyperlink r:id="rId11">
        <w:r>
          <w:rPr>
            <w:color w:val="0000EE"/>
            <w:u w:val="single"/>
          </w:rPr>
          <w:t>https://pubmed.ncbi.nlm.nih.gov/19834003/</w:t>
        </w:r>
      </w:hyperlink>
      <w:r>
        <w:t xml:space="preserve"> - This study compares the prevalence of IPV among same-sex and opposite-sex partners in the United States. It finds that same-sex victims differ from opposite-sex victims in some forms of IPV prevalence, and urban same-sex victims have increased odds of poor self-perceived health status.</w:t>
      </w:r>
      <w:r/>
    </w:p>
    <w:p>
      <w:pPr>
        <w:pStyle w:val="ListNumber"/>
        <w:spacing w:line="240" w:lineRule="auto"/>
        <w:ind w:left="720"/>
      </w:pPr>
      <w:r/>
      <w:hyperlink r:id="rId13">
        <w:r>
          <w:rPr>
            <w:color w:val="0000EE"/>
            <w:u w:val="single"/>
          </w:rPr>
          <w:t>https://pubmed.ncbi.nlm.nih.gov/24919997/</w:t>
        </w:r>
      </w:hyperlink>
      <w:r>
        <w:t xml:space="preserve"> - This research explores the association between substance use and IPV within Black male same-sex relationships. The study highlights the complex interplay between substance use and IPV, suggesting that interventions addressing both factors may be more effective in reducing violence.</w:t>
      </w:r>
      <w:r/>
    </w:p>
    <w:p>
      <w:pPr>
        <w:pStyle w:val="ListNumber"/>
        <w:spacing w:line="240" w:lineRule="auto"/>
        <w:ind w:left="720"/>
      </w:pPr>
      <w:r/>
      <w:hyperlink r:id="rId14">
        <w:r>
          <w:rPr>
            <w:color w:val="0000EE"/>
            <w:u w:val="single"/>
          </w:rPr>
          <w:t>https://pubmed.ncbi.nlm.nih.gov/21731790/</w:t>
        </w:r>
      </w:hyperlink>
      <w:r>
        <w:t xml:space="preserve"> - This study examines the relationship between dyadic characteristics and IPV among men who have sex with men. It finds that greater relationship satisfaction and concordance on lifestyle choices are associated with lower reports of experiencing or perpetrating emotional violence.</w:t>
      </w:r>
      <w:r/>
    </w:p>
    <w:p>
      <w:pPr>
        <w:pStyle w:val="ListNumber"/>
        <w:spacing w:line="240" w:lineRule="auto"/>
        <w:ind w:left="720"/>
      </w:pPr>
      <w:r/>
      <w:hyperlink r:id="rId15">
        <w:r>
          <w:rPr>
            <w:color w:val="0000EE"/>
            <w:u w:val="single"/>
          </w:rPr>
          <w:t>https://link.springer.com/article/10.1007/s10508-024-03023-z</w:t>
        </w:r>
      </w:hyperlink>
      <w:r>
        <w:t xml:space="preserve"> - This comprehensive review assesses the impact of IPV on the mental and physical health of sexual and gender minorities. The findings indicate that IPV significantly affects the well-being of these individuals, underscoring the need for targeted health interventions and support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nclosetedmedia.com/p/for-lesbian-victims-of-domestic-violence" TargetMode="External"/><Relationship Id="rId10" Type="http://schemas.openxmlformats.org/officeDocument/2006/relationships/hyperlink" Target="https://www.hrc.org/resources/understanding-intimate-partner-violence-in-the-lgbtq-community" TargetMode="External"/><Relationship Id="rId11" Type="http://schemas.openxmlformats.org/officeDocument/2006/relationships/hyperlink" Target="https://pubmed.ncbi.nlm.nih.gov/19834003/" TargetMode="External"/><Relationship Id="rId12" Type="http://schemas.openxmlformats.org/officeDocument/2006/relationships/hyperlink" Target="https://pubmed.ncbi.nlm.nih.gov/29333967/" TargetMode="External"/><Relationship Id="rId13" Type="http://schemas.openxmlformats.org/officeDocument/2006/relationships/hyperlink" Target="https://pubmed.ncbi.nlm.nih.gov/24919997/" TargetMode="External"/><Relationship Id="rId14" Type="http://schemas.openxmlformats.org/officeDocument/2006/relationships/hyperlink" Target="https://pubmed.ncbi.nlm.nih.gov/21731790/" TargetMode="External"/><Relationship Id="rId15" Type="http://schemas.openxmlformats.org/officeDocument/2006/relationships/hyperlink" Target="https://link.springer.com/article/10.1007/s10508-024-03023-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