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pPr>
        <w:pStyle w:val="Heading1"/>
      </w:pPr>
      <w:r>
        <w:t>Gayming Manual brings queer gaming culture offline</w:t>
      </w:r>
      <w:r/>
    </w:p>
    <w:p>
      <w:r/>
      <w:r/>
    </w:p>
    <w:p>
      <w:r>
        <w:drawing>
          <wp:inline xmlns:a="http://schemas.openxmlformats.org/drawingml/2006/main" xmlns:pic="http://schemas.openxmlformats.org/drawingml/2006/picture">
            <wp:extent cx="5080000" cy="2902857"/>
            <wp:docPr id="1" name="Picture 1"/>
            <wp:cNvGraphicFramePr>
              <a:graphicFrameLocks noChangeAspect="1"/>
            </wp:cNvGraphicFramePr>
            <a:graphic>
              <a:graphicData uri="http://schemas.openxmlformats.org/drawingml/2006/picture">
                <pic:pic>
                  <pic:nvPicPr>
                    <pic:cNvPr id="0" name="image.jpg"/>
                    <pic:cNvPicPr/>
                  </pic:nvPicPr>
                  <pic:blipFill>
                    <a:blip r:embed="rId8"/>
                    <a:stretch>
                      <a:fillRect/>
                    </a:stretch>
                  </pic:blipFill>
                  <pic:spPr>
                    <a:xfrm>
                      <a:off x="0" y="0"/>
                      <a:ext cx="5080000" cy="2902857"/>
                    </a:xfrm>
                    <a:prstGeom prst="rect"/>
                  </pic:spPr>
                </pic:pic>
              </a:graphicData>
            </a:graphic>
          </wp:inline>
        </w:drawing>
      </w:r>
    </w:p>
    <w:p>
      <w:r/>
      <w:r>
        <w:rPr>
          <w:b/>
        </w:rPr>
        <w:t>Queer gamers are getting a new print-only zine in November 2026, packed with video games, tabletop adventures, collectibles and fandoms. Gayming Manual is designed for readers who want something colourful, tactile and proudly LGBTQ+ to keep, share and revisit, while supporting creators beyond the increasingly unpredictable world of online platforms.</w:t>
      </w:r>
      <w:r/>
    </w:p>
    <w:p>
      <w:pPr>
        <w:pStyle w:val="Heading2"/>
      </w:pPr>
      <w:r>
        <w:t>Essential Takeaways</w:t>
      </w:r>
      <w:r/>
      <w:r/>
    </w:p>
    <w:p>
      <w:pPr>
        <w:pStyle w:val="ListBullet"/>
        <w:spacing w:line="240" w:lineRule="auto"/>
        <w:ind w:left="720"/>
      </w:pPr>
      <w:r/>
      <w:r>
        <w:rPr>
          <w:b/>
        </w:rPr>
        <w:t>Print-first format:</w:t>
      </w:r>
      <w:r>
        <w:t xml:space="preserve"> Each 40-page issue will be full colour, released six times a year and made without generative AI.</w:t>
      </w:r>
      <w:r/>
    </w:p>
    <w:p>
      <w:pPr>
        <w:pStyle w:val="ListBullet"/>
        <w:spacing w:line="240" w:lineRule="auto"/>
        <w:ind w:left="720"/>
      </w:pPr>
      <w:r/>
      <w:r>
        <w:rPr>
          <w:b/>
        </w:rPr>
        <w:t>Issue One arrives in November:</w:t>
      </w:r>
      <w:r>
        <w:t xml:space="preserve"> It includes interviews, reviews, gift ideas, comics, cosplay and a Sonic-themed competition.</w:t>
      </w:r>
      <w:r/>
    </w:p>
    <w:p>
      <w:pPr>
        <w:pStyle w:val="ListBullet"/>
        <w:spacing w:line="240" w:lineRule="auto"/>
        <w:ind w:left="720"/>
      </w:pPr>
      <w:r/>
      <w:r>
        <w:rPr>
          <w:b/>
        </w:rPr>
        <w:t>Queer creators take centre stage:</w:t>
      </w:r>
      <w:r>
        <w:t xml:space="preserve"> Every edition will feature original wraparound cover art from an LGBTQ+ artist.</w:t>
      </w:r>
      <w:r/>
    </w:p>
    <w:p>
      <w:pPr>
        <w:pStyle w:val="ListBullet"/>
        <w:spacing w:line="240" w:lineRule="auto"/>
        <w:ind w:left="720"/>
      </w:pPr>
      <w:r/>
      <w:r>
        <w:rPr>
          <w:b/>
        </w:rPr>
        <w:t>A charitable contribution:</w:t>
      </w:r>
      <w:r>
        <w:t xml:space="preserve"> One dollar from every sale goes to the Gayming Foundation.</w:t>
      </w:r>
      <w:r/>
    </w:p>
    <w:p>
      <w:pPr>
        <w:pStyle w:val="ListBullet"/>
        <w:spacing w:line="240" w:lineRule="auto"/>
        <w:ind w:left="720"/>
      </w:pPr>
      <w:r/>
      <w:r>
        <w:rPr>
          <w:b/>
        </w:rPr>
        <w:t>Patreon extras:</w:t>
      </w:r>
      <w:r>
        <w:t xml:space="preserve"> Supporters can receive early issues, bonus content, merchandise discounts and other benefits.</w:t>
      </w:r>
      <w:r/>
      <w:r/>
    </w:p>
    <w:p>
      <w:pPr>
        <w:pStyle w:val="Heading2"/>
      </w:pPr>
      <w:r>
        <w:t>A new zine for queer gamers going offline</w:t>
      </w:r>
      <w:r/>
    </w:p>
    <w:p>
      <w:r/>
      <w:r>
        <w:t>There’s something pleasingly solid about a magazine you can pick up, flick through and leave on the coffee table. Gayming Manual is leaning into that feeling with a print-only format centred on LGBTQ+ gaming and nerd culture, according to Gayming Magazine.</w:t>
      </w:r>
      <w:r/>
    </w:p>
    <w:p>
      <w:r/>
      <w:r>
        <w:t>The bi-monthly publication will cover physical video games, tabletop titles, comics, collectibles and related products. Its language borrows from classic game manuals, turning articles into “levels”, regular features into “sidequests” and competitions into “rewards”. It’s a playful approach, but also a thoughtful nod to the era when games arrived with booklets rather than a download code and a web link.</w:t>
      </w:r>
      <w:r/>
    </w:p>
    <w:p>
      <w:r/>
      <w:r>
        <w:t>This kind of independent queer geek publishing has a clear cultural precedent. Homocore and other LGBTQ+ zines showed how small, self-directed print projects could create space for voices overlooked by mainstream media, as documented by Wikipedia. Gayming Manual arrives with a similarly community-minded ambition, but with gaming at its centre.</w:t>
      </w:r>
      <w:r/>
    </w:p>
    <w:p>
      <w:pPr>
        <w:pStyle w:val="Heading2"/>
      </w:pPr>
      <w:r>
        <w:t>Why physical media feels newly relevant</w:t>
      </w:r>
      <w:r/>
    </w:p>
    <w:p>
      <w:r/>
      <w:r>
        <w:t>The zine’s launch reflects a broader appetite for owning something tangible at a time when much of entertainment is rented, streamed or controlled by platforms. Across tabletop culture, publishers are also experimenting with compact zine formats, showing that small-scale print can still feel fresh rather than nostalgic, according to ICv2.</w:t>
      </w:r>
      <w:r/>
    </w:p>
    <w:p>
      <w:r/>
      <w:r>
        <w:t>For queer creators and readers, the appeal is more urgent than simple retro charm. Gayming Magazine says LGBTQ+ accounts and communities can face shadow-banning, demonetisation or removal online, sometimes with little explanation. A printed issue can’t be quietly buried by an algorithm, although it does ask readers to make room for it on a shelf.</w:t>
      </w:r>
      <w:r/>
    </w:p>
    <w:p>
      <w:r/>
      <w:r>
        <w:t>That physical quality matters emotionally, too. A colourful cover, paper texture and pages that can be passed between friends offer a different kind of community experience from scrolling alone. It’s less instant, perhaps, but it can feel more lasting.</w:t>
      </w:r>
      <w:r/>
    </w:p>
    <w:p>
      <w:pPr>
        <w:pStyle w:val="Heading2"/>
      </w:pPr>
      <w:r>
        <w:t>What’s inside Issue One?</w:t>
      </w:r>
      <w:r/>
    </w:p>
    <w:p>
      <w:r/>
      <w:r>
        <w:t>The first issue is scheduled for November 2026, making it a timely option for queer gaming gift guides and festive browsing. Planned highlights include a feature from voice actor Samantha Bowling on giving Native creators room to develop, alongside a retro look at the Sonic the Hedgehog 35th Anniversary Legacy Cartridge from iam8bit and Sega.</w:t>
      </w:r>
      <w:r/>
    </w:p>
    <w:p>
      <w:r/>
      <w:r>
        <w:t>Readers will also find an interview with actor, comedian and filmmaker Brandon Rogers, a 20 Questions feature with Canadian beauty and gaming creator Stef Sanjati, and a tabletop column from advocate and streamer Tanya DePass. A history feature will revisit Dragon Age II, while a comic from Kayla Shaggy and a cosplay section will bring fan creativity into the mix.</w:t>
      </w:r>
      <w:r/>
    </w:p>
    <w:p>
      <w:r/>
      <w:r>
        <w:t>The issue also includes a competition to win a Sonic the Hedgehog 35th Anniversary Legacy Cartridge Collection covering the first two games. For a magazine built around physical media, that prize feels almost comically on-brand, in the best possible way.</w:t>
      </w:r>
      <w:r/>
    </w:p>
    <w:p>
      <w:pPr>
        <w:pStyle w:val="Heading2"/>
      </w:pPr>
      <w:r>
        <w:t>Collectible covers give every issue its own identity</w:t>
      </w:r>
      <w:r/>
    </w:p>
    <w:p>
      <w:r/>
      <w:r>
        <w:t>Each issue will carry original wraparound cover art by a different LGBTQ+ artist. Issue One’s artwork comes from Isa Happyfield, a Japanese concept artist and London-based art director whose work includes queer superhero manga and the role-playing game QUEERZ!.</w:t>
      </w:r>
      <w:r/>
    </w:p>
    <w:p>
      <w:r/>
      <w:r>
        <w:t>The format means the cover unfolds into one complete image from front to back, rather than stopping at the spine. That makes the zine feel closer to a small art object than a disposable publication, especially for readers who enjoy collecting independent print work.</w:t>
      </w:r>
      <w:r/>
    </w:p>
    <w:p>
      <w:r/>
      <w:r>
        <w:t>There’s already a lively ecosystem of gaming and fandom zines online, including community-led projects showcased through sites such as Gaymer Girls Zine. Gayming Manual’s distinction is its regular schedule, polished editorial package and deliberate link between queer identity and the wider world of games.</w:t>
      </w:r>
      <w:r/>
    </w:p>
    <w:p>
      <w:pPr>
        <w:pStyle w:val="Heading2"/>
      </w:pPr>
      <w:r>
        <w:t>How to buy the zine or support its mission</w:t>
      </w:r>
      <w:r/>
    </w:p>
    <w:p>
      <w:r/>
      <w:r>
        <w:t>Pre-orders for Issue One are open through Gayming Magazine’s zine page. Readers can also join the Gayming Manual Patreon, which offers each issue as soon as it leaves the press, exclusive material during the months between editions, 20 per cent off Gayming merchandise and selected partner benefits.</w:t>
      </w:r>
      <w:r/>
    </w:p>
    <w:p>
      <w:r/>
      <w:r>
        <w:t>A dollar from every issue sold will go to the Gayming Foundation, supporting its work with the LGBTQ+ gaming community. That gives the purchase a useful extra dimension, particularly for readers who want their media spending to support both independent creators and community organisations.</w:t>
      </w:r>
      <w:r/>
    </w:p>
    <w:p>
      <w:r/>
      <w:r>
        <w:t>If you’re choosing a copy for someone else, consider their favourite corner of gaming culture first. A tabletop fan may enjoy the campaign-focused features, while a retro enthusiast might be drawn to the Sonic coverage and the collectible feel of the issue itself. Either way, it’s a gift that doesn’t need a charger, login or software update.</w:t>
      </w:r>
      <w:r/>
    </w:p>
    <w:p>
      <w:r/>
      <w:r>
        <w:t>Gayming Manual is betting that queer gaming culture deserves more than a fleeting appearance in a feed. With its first issue, the project offers a bright, handmade-feeling alternative that readers can actually keep.</w:t>
      </w:r>
      <w:r/>
    </w:p>
    <w:p>
      <w:r/>
      <w:r>
        <w:t>It’s a small magazine with a big shelf-life.</w:t>
      </w:r>
      <w:r/>
    </w:p>
    <w:p>
      <w:pPr>
        <w:pStyle w:val="Heading3"/>
      </w:pPr>
      <w:r>
        <w:t>Source Reference Map</w:t>
      </w:r>
      <w:r/>
    </w:p>
    <w:p>
      <w:r/>
      <w:r>
        <w:rPr>
          <w:b/>
        </w:rPr>
        <w:t>Story idea inspired by:</w:t>
      </w:r>
      <w:r>
        <w:t xml:space="preserve"> </w:t>
      </w:r>
      <w:hyperlink r:id="rId9">
        <w:r>
          <w:rPr>
            <w:color w:val="0000EE"/>
            <w:u w:val="single"/>
          </w:rPr>
          <w:t>[1]</w:t>
        </w:r>
      </w:hyperlink>
      <w:r/>
    </w:p>
    <w:p>
      <w:r/>
      <w:r>
        <w:rPr>
          <w:b/>
        </w:rPr>
        <w:t>Sources by paragraph:</w:t>
      </w:r>
      <w:r>
        <w:t xml:space="preserve">- Paragraph 1: </w:t>
      </w:r>
      <w:hyperlink r:id="rId9">
        <w:r>
          <w:rPr>
            <w:color w:val="0000EE"/>
            <w:u w:val="single"/>
          </w:rPr>
          <w:t>[2]</w:t>
        </w:r>
      </w:hyperlink>
      <w:r>
        <w:t xml:space="preserve">, </w:t>
      </w:r>
      <w:hyperlink r:id="rId10">
        <w:r>
          <w:rPr>
            <w:color w:val="0000EE"/>
            <w:u w:val="single"/>
          </w:rPr>
          <w:t>[3]</w:t>
        </w:r>
      </w:hyperlink>
      <w:r>
        <w:t xml:space="preserve">- Paragraph 2: </w:t>
      </w:r>
      <w:hyperlink r:id="rId9">
        <w:r>
          <w:rPr>
            <w:color w:val="0000EE"/>
            <w:u w:val="single"/>
          </w:rPr>
          <w:t>[2]</w:t>
        </w:r>
      </w:hyperlink>
      <w:r>
        <w:t xml:space="preserve">, </w:t>
      </w:r>
      <w:hyperlink r:id="rId11">
        <w:r>
          <w:rPr>
            <w:color w:val="0000EE"/>
            <w:u w:val="single"/>
          </w:rPr>
          <w:t>[5]</w:t>
        </w:r>
      </w:hyperlink>
      <w:r>
        <w:t xml:space="preserve">- Paragraph 3: </w:t>
      </w:r>
      <w:hyperlink r:id="rId12">
        <w:r>
          <w:rPr>
            <w:color w:val="0000EE"/>
            <w:u w:val="single"/>
          </w:rPr>
          <w:t>[4]</w:t>
        </w:r>
      </w:hyperlink>
      <w:r>
        <w:t xml:space="preserve">, </w:t>
      </w:r>
      <w:hyperlink r:id="rId13">
        <w:r>
          <w:rPr>
            <w:color w:val="0000EE"/>
            <w:u w:val="single"/>
          </w:rPr>
          <w:t>[7]</w:t>
        </w:r>
      </w:hyperlink>
      <w:r>
        <w:t xml:space="preserve">- Paragraph 4: </w:t>
      </w:r>
      <w:hyperlink r:id="rId9">
        <w:r>
          <w:rPr>
            <w:color w:val="0000EE"/>
            <w:u w:val="single"/>
          </w:rPr>
          <w:t>[2]</w:t>
        </w:r>
      </w:hyperlink>
      <w:r>
        <w:t xml:space="preserve">, </w:t>
      </w:r>
      <w:hyperlink r:id="rId11">
        <w:r>
          <w:rPr>
            <w:color w:val="0000EE"/>
            <w:u w:val="single"/>
          </w:rPr>
          <w:t>[5]</w:t>
        </w:r>
      </w:hyperlink>
      <w:r>
        <w:t xml:space="preserve">- Paragraph 5: </w:t>
      </w:r>
      <w:hyperlink r:id="rId9">
        <w:r>
          <w:rPr>
            <w:color w:val="0000EE"/>
            <w:u w:val="single"/>
          </w:rPr>
          <w:t>[2]</w:t>
        </w:r>
      </w:hyperlink>
      <w:r>
        <w:t xml:space="preserve">, </w:t>
      </w:r>
      <w:hyperlink r:id="rId10">
        <w:r>
          <w:rPr>
            <w:color w:val="0000EE"/>
            <w:u w:val="single"/>
          </w:rPr>
          <w:t>[3]</w:t>
        </w:r>
      </w:hyperlink>
      <w:r>
        <w:t xml:space="preserve">- Paragraph 6: </w:t>
      </w:r>
      <w:hyperlink r:id="rId9">
        <w:r>
          <w:rPr>
            <w:color w:val="0000EE"/>
            <w:u w:val="single"/>
          </w:rPr>
          <w:t>[2]</w:t>
        </w:r>
      </w:hyperlink>
      <w:r>
        <w:t xml:space="preserve">, </w:t>
      </w:r>
      <w:hyperlink r:id="rId14">
        <w:r>
          <w:rPr>
            <w:color w:val="0000EE"/>
            <w:u w:val="single"/>
          </w:rPr>
          <w:t>[6]</w:t>
        </w:r>
      </w:hyperlink>
      <w:r>
        <w:t xml:space="preserve">- Paragraph 7: </w:t>
      </w:r>
      <w:hyperlink r:id="rId9">
        <w:r>
          <w:rPr>
            <w:color w:val="0000EE"/>
            <w:u w:val="single"/>
          </w:rPr>
          <w:t>[2]</w:t>
        </w:r>
      </w:hyperlink>
      <w:r>
        <w:t xml:space="preserve">, </w:t>
      </w:r>
      <w:hyperlink r:id="rId10">
        <w:r>
          <w:rPr>
            <w:color w:val="0000EE"/>
            <w:u w:val="single"/>
          </w:rPr>
          <w:t>[3]</w:t>
        </w:r>
      </w:hyperlink>
      <w:r>
        <w:t xml:space="preserve">- Paragraph 8: </w:t>
      </w:r>
      <w:hyperlink r:id="rId9">
        <w:r>
          <w:rPr>
            <w:color w:val="0000EE"/>
            <w:u w:val="single"/>
          </w:rPr>
          <w:t>[2]</w:t>
        </w:r>
      </w:hyperlink>
      <w:r>
        <w:t xml:space="preserve">, </w:t>
      </w:r>
      <w:hyperlink r:id="rId11">
        <w:r>
          <w:rPr>
            <w:color w:val="0000EE"/>
            <w:u w:val="single"/>
          </w:rPr>
          <w:t>[5]</w:t>
        </w:r>
      </w:hyperlink>
      <w:r>
        <w:t xml:space="preserve">- Paragraph 9: </w:t>
      </w:r>
      <w:hyperlink r:id="rId9">
        <w:r>
          <w:rPr>
            <w:color w:val="0000EE"/>
            <w:u w:val="single"/>
          </w:rPr>
          <w:t>[2]</w:t>
        </w:r>
      </w:hyperlink>
      <w:r>
        <w:t xml:space="preserve">, </w:t>
      </w:r>
      <w:hyperlink r:id="rId10">
        <w:r>
          <w:rPr>
            <w:color w:val="0000EE"/>
            <w:u w:val="single"/>
          </w:rPr>
          <w:t>[3]</w:t>
        </w:r>
      </w:hyperlink>
      <w:r>
        <w:t xml:space="preserve">- Paragraph 10: </w:t>
      </w:r>
      <w:hyperlink r:id="rId9">
        <w:r>
          <w:rPr>
            <w:color w:val="0000EE"/>
            <w:u w:val="single"/>
          </w:rPr>
          <w:t>[2]</w:t>
        </w:r>
      </w:hyperlink>
      <w:r>
        <w:t xml:space="preserve">, </w:t>
      </w:r>
      <w:hyperlink r:id="rId13">
        <w:r>
          <w:rPr>
            <w:color w:val="0000EE"/>
            <w:u w:val="single"/>
          </w:rPr>
          <w:t>[7]</w:t>
        </w:r>
      </w:hyperlink>
      <w:r>
        <w:t xml:space="preserve">- Paragraph 11: </w:t>
      </w:r>
      <w:hyperlink r:id="rId9">
        <w:r>
          <w:rPr>
            <w:color w:val="0000EE"/>
            <w:u w:val="single"/>
          </w:rPr>
          <w:t>[2]</w:t>
        </w:r>
      </w:hyperlink>
      <w:r>
        <w:t xml:space="preserve">, </w:t>
      </w:r>
      <w:hyperlink r:id="rId10">
        <w:r>
          <w:rPr>
            <w:color w:val="0000EE"/>
            <w:u w:val="single"/>
          </w:rPr>
          <w:t>[3]</w:t>
        </w:r>
      </w:hyperlink>
      <w:r>
        <w:t xml:space="preserve">- Paragraph 12: </w:t>
      </w:r>
      <w:hyperlink r:id="rId9">
        <w:r>
          <w:rPr>
            <w:color w:val="0000EE"/>
            <w:u w:val="single"/>
          </w:rPr>
          <w:t>[2]</w:t>
        </w:r>
      </w:hyperlink>
      <w:r>
        <w:t xml:space="preserve">, </w:t>
      </w:r>
      <w:hyperlink r:id="rId14">
        <w:r>
          <w:rPr>
            <w:color w:val="0000EE"/>
            <w:u w:val="single"/>
          </w:rPr>
          <w:t>[6]</w:t>
        </w:r>
      </w:hyperlink>
      <w:r>
        <w:t xml:space="preserve">- Paragraph 13: </w:t>
      </w:r>
      <w:hyperlink r:id="rId9">
        <w:r>
          <w:rPr>
            <w:color w:val="0000EE"/>
            <w:u w:val="single"/>
          </w:rPr>
          <w:t>[2]</w:t>
        </w:r>
      </w:hyperlink>
      <w:r>
        <w:t xml:space="preserve">, </w:t>
      </w:r>
      <w:hyperlink r:id="rId10">
        <w:r>
          <w:rPr>
            <w:color w:val="0000EE"/>
            <w:u w:val="single"/>
          </w:rPr>
          <w:t>[3]</w:t>
        </w:r>
      </w:hyperlink>
      <w:r>
        <w:t xml:space="preserve">- Paragraph 14: </w:t>
      </w:r>
      <w:hyperlink r:id="rId9">
        <w:r>
          <w:rPr>
            <w:color w:val="0000EE"/>
            <w:u w:val="single"/>
          </w:rPr>
          <w:t>[2]</w:t>
        </w:r>
      </w:hyperlink>
      <w:r>
        <w:t xml:space="preserve">, </w:t>
      </w:r>
      <w:hyperlink r:id="rId10">
        <w:r>
          <w:rPr>
            <w:color w:val="0000EE"/>
            <w:u w:val="single"/>
          </w:rPr>
          <w:t>[3]</w:t>
        </w:r>
      </w:hyperlink>
      <w:r>
        <w:t xml:space="preserve">- Paragraph 15: </w:t>
      </w:r>
      <w:hyperlink r:id="rId9">
        <w:r>
          <w:rPr>
            <w:color w:val="0000EE"/>
            <w:u w:val="single"/>
          </w:rPr>
          <w:t>[2]</w:t>
        </w:r>
      </w:hyperlink>
      <w:r>
        <w:t xml:space="preserve">, </w:t>
      </w:r>
      <w:hyperlink r:id="rId11">
        <w:r>
          <w:rPr>
            <w:color w:val="0000EE"/>
            <w:u w:val="single"/>
          </w:rPr>
          <w:t>[5]</w:t>
        </w:r>
      </w:hyperlink>
      <w:r>
        <w:t xml:space="preserve">- Paragraph 16: </w:t>
      </w:r>
      <w:hyperlink r:id="rId9">
        <w:r>
          <w:rPr>
            <w:color w:val="0000EE"/>
            <w:u w:val="single"/>
          </w:rPr>
          <w:t>[2]</w:t>
        </w:r>
      </w:hyperlink>
      <w:r>
        <w:t xml:space="preserve">, </w:t>
      </w:r>
      <w:hyperlink r:id="rId10">
        <w:r>
          <w:rPr>
            <w:color w:val="0000EE"/>
            <w:u w:val="single"/>
          </w:rPr>
          <w:t>[3]</w:t>
        </w:r>
      </w:hyperlink>
      <w:r>
        <w:t xml:space="preserve">- Paragraph 17: </w:t>
      </w:r>
      <w:hyperlink r:id="rId9">
        <w:r>
          <w:rPr>
            <w:color w:val="0000EE"/>
            <w:u w:val="single"/>
          </w:rPr>
          <w:t>[2]</w:t>
        </w:r>
      </w:hyperlink>
      <w:r>
        <w:t xml:space="preserve">, </w:t>
      </w:r>
      <w:hyperlink r:id="rId13">
        <w:r>
          <w:rPr>
            <w:color w:val="0000EE"/>
            <w:u w:val="single"/>
          </w:rPr>
          <w:t>[7]</w:t>
        </w:r>
      </w:hyperlink>
      <w:r>
        <w:t xml:space="preserve">- Paragraph 18: </w:t>
      </w:r>
      <w:hyperlink r:id="rId9">
        <w:r>
          <w:rPr>
            <w:color w:val="0000EE"/>
            <w:u w:val="single"/>
          </w:rPr>
          <w:t>[2]</w:t>
        </w:r>
      </w:hyperlink>
      <w:r>
        <w:t xml:space="preserve">, </w:t>
      </w:r>
      <w:hyperlink r:id="rId10">
        <w:r>
          <w:rPr>
            <w:color w:val="0000EE"/>
            <w:u w:val="single"/>
          </w:rPr>
          <w:t>[3]</w:t>
        </w:r>
      </w:hyperlink>
      <w:r/>
    </w:p>
    <w:p>
      <w:pPr>
        <w:pStyle w:val="Heading2"/>
      </w:pPr>
      <w:r>
        <w:t>Bibliography</w:t>
      </w:r>
      <w:r/>
      <w:r/>
    </w:p>
    <w:p>
      <w:pPr>
        <w:pStyle w:val="ListNumber"/>
        <w:numPr>
          <w:ilvl w:val="0"/>
          <w:numId w:val="14"/>
        </w:numPr>
        <w:spacing w:line="240" w:lineRule="auto"/>
        <w:ind w:left="720"/>
      </w:pPr>
      <w:r/>
      <w:hyperlink r:id="rId9">
        <w:r>
          <w:rPr>
            <w:color w:val="0000EE"/>
            <w:u w:val="single"/>
          </w:rPr>
          <w:t>https://gaymingmag.com/2026/09/gayming-manual-a-bi-monthly-print-only-zine-launches-celebrating-lgbtq-gaming-nerd-culture/?utm_source=rss&amp;utm_medium=rss&amp;utm_campaign=gayming-manual-a-bi-monthly-print-only-zine-launches-celebrating-lgbtq-gaming-nerd-culture</w:t>
        </w:r>
      </w:hyperlink>
      <w:r>
        <w:t xml:space="preserve"> - Please view link - unable to able to access data</w:t>
      </w:r>
      <w:r/>
    </w:p>
    <w:p>
      <w:pPr>
        <w:pStyle w:val="ListNumber"/>
        <w:spacing w:line="240" w:lineRule="auto"/>
        <w:ind w:left="720"/>
      </w:pPr>
      <w:r/>
      <w:hyperlink r:id="rId9">
        <w:r>
          <w:rPr>
            <w:color w:val="0000EE"/>
            <w:u w:val="single"/>
          </w:rPr>
          <w:t>https://gaymingmag.com/2026/09/gayming-manual-a-bi-monthly-print-only-zine-launches-celebrating-lgbtq-gaming-nerd-culture/?utm_source=rss&amp;utm_medium=rss&amp;utm_campaign=gayming-manual-a-bi-monthly-print-only-zine-launches-celebrating-lgbtq-gaming-nerd-culture</w:t>
        </w:r>
      </w:hyperlink>
      <w:r>
        <w:t xml:space="preserve"> - Gayming Magazine announces the launch of Gayming Manual, a bi-monthly print-only zine celebrating LGBTQ+ gaming and nerd culture. Designed as a guide 'for gaymers going offline', it will spotlight queer games, comics, and tabletop titles in physical media that big tech can't censor. Pre-orders for Issue One are open now at gaymingmag.com/zine, with Issue One landing November 2026. The zine features original, collectible cover art by a different LGBTQ+ artist, and every issue gives back, with $1 from each sale going directly to the Gayming Foundation, supporting its work for the LGBTQ+ gaming community.</w:t>
      </w:r>
      <w:r/>
    </w:p>
    <w:p>
      <w:pPr>
        <w:pStyle w:val="ListNumber"/>
        <w:spacing w:line="240" w:lineRule="auto"/>
        <w:ind w:left="720"/>
      </w:pPr>
      <w:r/>
      <w:hyperlink r:id="rId10">
        <w:r>
          <w:rPr>
            <w:color w:val="0000EE"/>
            <w:u w:val="single"/>
          </w:rPr>
          <w:t>https://gaymingmag.com/</w:t>
        </w:r>
      </w:hyperlink>
      <w:r>
        <w:t xml:space="preserve"> - Gayming Magazine is a British LGBTQ+ online video gaming magazine launched in June 2019. It aims to connect the LGBTQ+ and video gaming communities and has hosted virtual Pride events. In 2021, the magazine hosted the world's first LGBTQ+ gaming awards ceremony, the Gayming Awards. The magazine also debuted Gayming LIVE Online in 2022, bringing together video games, drag artists, and queer culture.</w:t>
      </w:r>
      <w:r/>
    </w:p>
    <w:p>
      <w:pPr>
        <w:pStyle w:val="ListNumber"/>
        <w:spacing w:line="240" w:lineRule="auto"/>
        <w:ind w:left="720"/>
      </w:pPr>
      <w:r/>
      <w:hyperlink r:id="rId12">
        <w:r>
          <w:rPr>
            <w:color w:val="0000EE"/>
            <w:u w:val="single"/>
          </w:rPr>
          <w:t>https://en.wikipedia.org/wiki/Homocore_%28zine%29</w:t>
        </w:r>
      </w:hyperlink>
      <w:r>
        <w:t xml:space="preserve"> - Homocore was an American anarcho-punk zine created by Tom Jennings and Deke Nihilson, published in San Francisco from 1988 to 1991. One of the first queer zines, Homocore was directed toward the hardcore punk youth of the gay underground and is noted for popularizing the queercore movement on the United States west coast.</w:t>
      </w:r>
      <w:r/>
    </w:p>
    <w:p>
      <w:pPr>
        <w:pStyle w:val="ListNumber"/>
        <w:spacing w:line="240" w:lineRule="auto"/>
        <w:ind w:left="720"/>
      </w:pPr>
      <w:r/>
      <w:hyperlink r:id="rId11">
        <w:r>
          <w:rPr>
            <w:color w:val="0000EE"/>
            <w:u w:val="single"/>
          </w:rPr>
          <w:t>https://icv2.com/articles/news/view/61837/gama-expo-2026-news-vast-grimm-ttrpg-goes-zine-format</w:t>
        </w:r>
      </w:hyperlink>
      <w:r>
        <w:t xml:space="preserve"> - Creature Curation announced the release of Vast Grimm zines and Battle Binderz zine folios, set to hit retail in 2026. The zine format for tabletop role-playing games (TTRPGs) has been growing in popularity, especially in the post-pandemic era. The Vast Grimm zines are science fiction TTRPG adventures powered by Mork Borg, with five zine adventures coming to retail in 2026.</w:t>
      </w:r>
      <w:r/>
    </w:p>
    <w:p>
      <w:pPr>
        <w:pStyle w:val="ListNumber"/>
        <w:spacing w:line="240" w:lineRule="auto"/>
        <w:ind w:left="720"/>
      </w:pPr>
      <w:r/>
      <w:hyperlink r:id="rId14">
        <w:r>
          <w:rPr>
            <w:color w:val="0000EE"/>
            <w:u w:val="single"/>
          </w:rPr>
          <w:t>https://bloatgames.squarespace.com/shop/overworld-tabletop-monster-manual-rpg-zine-fifth-edition-pre-order</w:t>
        </w:r>
      </w:hyperlink>
      <w:r>
        <w:t xml:space="preserve"> - Bloat Games offers a pre-order for 'Overworld - Tabletop Monster Manual RPG Zine - Fifth Edition', inspired by The Legend of Zelda. The zine is designed for Fifth Edition tabletop role-playing games and is available for pre-order on Bloat Games' website.</w:t>
      </w:r>
      <w:r/>
    </w:p>
    <w:p>
      <w:pPr>
        <w:pStyle w:val="ListNumber"/>
        <w:spacing w:line="240" w:lineRule="auto"/>
        <w:ind w:left="720"/>
      </w:pPr>
      <w:r/>
      <w:hyperlink r:id="rId13">
        <w:r>
          <w:rPr>
            <w:color w:val="0000EE"/>
            <w:u w:val="single"/>
          </w:rPr>
          <w:t>https://www.tumgik.com/gaymergirlszine-blog</w:t>
        </w:r>
      </w:hyperlink>
      <w:r>
        <w:t xml:space="preserve"> - The 'gaymergirlszine-blog' Tumblr blog announces the pre-order period for 'Heart of the Valley - a Stardew Valley Fanzine', open from January 20th to March 10th. The zine includes various bundles, from a PDF file to merchandise and a physical copy, featuring contributions from multiple artists and writers.</w:t>
      </w:r>
      <w:r/>
    </w:p>
    <w:sectPr w:rsidR="008F16EB" w:rsidRPr="008F16EB"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Franklin Gothic Book">
    <w:panose1 w:val="020B0503020102020204"/>
    <w:charset w:val="00"/>
    <w:family w:val="swiss"/>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notTrueType/>
    <w:pitch w:val="fixed"/>
    <w:sig w:usb0="E00002FF" w:usb1="6AC7FDFB" w:usb2="08000012" w:usb3="00000000" w:csb0="0002009F" w:csb1="00000000"/>
  </w:font>
  <w:font w:name="Courier">
    <w:altName w:val="Courier New"/>
    <w:panose1 w:val="020703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79911088"/>
    <w:multiLevelType w:val="hybridMultilevel"/>
    <w:tmpl w:val="B89254AA"/>
    <w:lvl w:ilvl="0" w:tplc="5ED0EE42">
      <w:start w:val="1"/>
      <w:numFmt w:val="bullet"/>
      <w:lvlText w:val=""/>
      <w:lvlJc w:val="left"/>
      <w:pPr>
        <w:ind w:left="144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583565639">
    <w:abstractNumId w:val="8"/>
  </w:num>
  <w:num w:numId="2" w16cid:durableId="1689715716">
    <w:abstractNumId w:val="6"/>
  </w:num>
  <w:num w:numId="3" w16cid:durableId="1422219261">
    <w:abstractNumId w:val="5"/>
  </w:num>
  <w:num w:numId="4" w16cid:durableId="1639651746">
    <w:abstractNumId w:val="4"/>
  </w:num>
  <w:num w:numId="5" w16cid:durableId="268244051">
    <w:abstractNumId w:val="7"/>
  </w:num>
  <w:num w:numId="6" w16cid:durableId="527262389">
    <w:abstractNumId w:val="3"/>
  </w:num>
  <w:num w:numId="7" w16cid:durableId="2116093898">
    <w:abstractNumId w:val="2"/>
  </w:num>
  <w:num w:numId="8" w16cid:durableId="1487162739">
    <w:abstractNumId w:val="1"/>
  </w:num>
  <w:num w:numId="9" w16cid:durableId="1639265226">
    <w:abstractNumId w:val="0"/>
  </w:num>
  <w:num w:numId="10" w16cid:durableId="495808350">
    <w:abstractNumId w:val="7"/>
    <w:lvlOverride w:ilvl="0">
      <w:startOverride w:val="1"/>
    </w:lvlOverride>
  </w:num>
  <w:num w:numId="11" w16cid:durableId="1894850684">
    <w:abstractNumId w:val="9"/>
  </w:num>
  <w:num w:numId="12" w16cid:durableId="1467312115">
    <w:abstractNumId w:val="9"/>
  </w:num>
  <w:num w:numId="13" w16cid:durableId="1615862868">
    <w:abstractNumId w:val="9"/>
  </w:num>
  <w:num w:numId="14">
    <w:abstractNumId w:val="7"/>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attachedTemplate r:id="rId1"/>
  <w:defaultTabStop w:val="720"/>
  <w:defaultTableStyle w:val="Noah"/>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3E31"/>
    <w:rsid w:val="00034616"/>
    <w:rsid w:val="0006063C"/>
    <w:rsid w:val="0015074B"/>
    <w:rsid w:val="0029639D"/>
    <w:rsid w:val="00326F90"/>
    <w:rsid w:val="00327C26"/>
    <w:rsid w:val="006072D1"/>
    <w:rsid w:val="00641096"/>
    <w:rsid w:val="00733E31"/>
    <w:rsid w:val="00782A44"/>
    <w:rsid w:val="007D0B83"/>
    <w:rsid w:val="008F16EB"/>
    <w:rsid w:val="00920A5B"/>
    <w:rsid w:val="00AA1D8D"/>
    <w:rsid w:val="00B47730"/>
    <w:rsid w:val="00CB0664"/>
    <w:rsid w:val="00F369D9"/>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2B5D908"/>
  <w14:defaultImageDpi w14:val="300"/>
  <w15:docId w15:val="{AFAB448B-A191-DB46-889A-C1A710B4FE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Georgia" w:hAnsi="Georgia" w:cs="Georgia"/>
        <w:sz w:val="22"/>
        <w:szCs w:val="22"/>
        <w:lang w:val="en-US" w:eastAsia="en-US" w:bidi="ar-SA"/>
      </w:rPr>
    </w:rPrDefault>
    <w:pPrDefault>
      <w:pPr>
        <w:spacing w:after="160" w:line="36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41096"/>
  </w:style>
  <w:style w:type="paragraph" w:styleId="Heading1">
    <w:name w:val="heading 1"/>
    <w:basedOn w:val="Normal"/>
    <w:next w:val="Normal"/>
    <w:link w:val="Heading1Char"/>
    <w:uiPriority w:val="9"/>
    <w:qFormat/>
    <w:rsid w:val="00641096"/>
    <w:pPr>
      <w:keepNext/>
      <w:keepLines/>
      <w:spacing w:before="240" w:after="160" w:line="240" w:lineRule="auto"/>
      <w:outlineLvl w:val="0"/>
    </w:pPr>
    <w:rPr>
      <w:rFonts w:ascii="Georgia" w:hAnsi="Georgia" w:cs="Georgia"/>
      <w:b/>
      <w:bCs/>
      <w:color w:val="1C1917"/>
      <w:sz w:val="52"/>
      <w:szCs w:val="52"/>
      <w:w w:val="90"/>
    </w:rPr>
  </w:style>
  <w:style w:type="paragraph" w:styleId="Heading2">
    <w:name w:val="heading 2"/>
    <w:basedOn w:val="Normal"/>
    <w:next w:val="Normal"/>
    <w:link w:val="Heading2Char"/>
    <w:uiPriority w:val="9"/>
    <w:unhideWhenUsed/>
    <w:qFormat/>
    <w:rsid w:val="00641096"/>
    <w:pPr>
      <w:keepNext/>
      <w:keepLines/>
      <w:spacing w:before="400" w:after="120"/>
      <w:outlineLvl w:val="1"/>
    </w:pPr>
    <w:rPr>
      <w:rFonts w:ascii="Georgia" w:hAnsi="Georgia" w:cs="Georgia"/>
      <w:b/>
      <w:bCs/>
      <w:color w:val="1C1917"/>
      <w:sz w:val="36"/>
      <w:szCs w:val="36"/>
      <w:w w:val="90"/>
    </w:rPr>
  </w:style>
  <w:style w:type="paragraph" w:styleId="Heading3">
    <w:name w:val="heading 3"/>
    <w:basedOn w:val="Normal"/>
    <w:next w:val="Normal"/>
    <w:link w:val="Heading3Char"/>
    <w:uiPriority w:val="9"/>
    <w:unhideWhenUsed/>
    <w:qFormat/>
    <w:rsid w:val="00641096"/>
    <w:pPr>
      <w:keepNext/>
      <w:keepLines/>
      <w:spacing w:before="320" w:after="80"/>
      <w:outlineLvl w:val="2"/>
    </w:pPr>
    <w:rPr>
      <w:rFonts w:ascii="Georgia" w:hAnsi="Georgia" w:cs="Georgia"/>
      <w:b/>
      <w:bCs/>
      <w:color w:val="374151"/>
      <w:sz w:val="28"/>
      <w:szCs w:val="28"/>
      <w:w w:val="90"/>
    </w:rPr>
  </w:style>
  <w:style w:type="paragraph" w:styleId="Heading4">
    <w:name w:val="heading 4"/>
    <w:basedOn w:val="Normal"/>
    <w:next w:val="Normal"/>
    <w:link w:val="Heading4Char"/>
    <w:uiPriority w:val="9"/>
    <w:semiHidden/>
    <w:unhideWhenUsed/>
    <w:qFormat/>
    <w:rsid w:val="00641096"/>
    <w:pPr>
      <w:keepNext/>
      <w:keepLines/>
      <w:spacing w:before="200" w:after="0"/>
      <w:outlineLvl w:val="3"/>
    </w:pPr>
    <w:rPr>
      <w:rFonts w:asciiTheme="majorHAnsi" w:eastAsiaTheme="majorEastAsia" w:hAnsiTheme="majorHAnsi" w:cstheme="majorBidi"/>
      <w:b/>
      <w:bCs/>
      <w:i/>
      <w:iCs/>
      <w:color w:val="156082" w:themeColor="accent1"/>
    </w:rPr>
  </w:style>
  <w:style w:type="paragraph" w:styleId="Heading5">
    <w:name w:val="heading 5"/>
    <w:basedOn w:val="Normal"/>
    <w:next w:val="Normal"/>
    <w:link w:val="Heading5Char"/>
    <w:uiPriority w:val="9"/>
    <w:semiHidden/>
    <w:unhideWhenUsed/>
    <w:qFormat/>
    <w:rsid w:val="00641096"/>
    <w:pPr>
      <w:keepNext/>
      <w:keepLines/>
      <w:spacing w:before="200" w:after="0"/>
      <w:outlineLvl w:val="4"/>
    </w:pPr>
    <w:rPr>
      <w:rFonts w:asciiTheme="majorHAnsi" w:eastAsiaTheme="majorEastAsia" w:hAnsiTheme="majorHAnsi" w:cstheme="majorBidi"/>
      <w:color w:val="0A2F40" w:themeColor="accent1" w:themeShade="7F"/>
    </w:rPr>
  </w:style>
  <w:style w:type="paragraph" w:styleId="Heading6">
    <w:name w:val="heading 6"/>
    <w:basedOn w:val="Normal"/>
    <w:next w:val="Normal"/>
    <w:link w:val="Heading6Char"/>
    <w:uiPriority w:val="9"/>
    <w:semiHidden/>
    <w:unhideWhenUsed/>
    <w:qFormat/>
    <w:rsid w:val="00641096"/>
    <w:pPr>
      <w:keepNext/>
      <w:keepLines/>
      <w:spacing w:before="200" w:after="0"/>
      <w:outlineLvl w:val="5"/>
    </w:pPr>
    <w:rPr>
      <w:rFonts w:asciiTheme="majorHAnsi" w:eastAsiaTheme="majorEastAsia" w:hAnsiTheme="majorHAnsi" w:cstheme="majorBidi"/>
      <w:i/>
      <w:iCs/>
      <w:color w:val="0A2F40" w:themeColor="accent1" w:themeShade="7F"/>
    </w:rPr>
  </w:style>
  <w:style w:type="paragraph" w:styleId="Heading7">
    <w:name w:val="heading 7"/>
    <w:basedOn w:val="Normal"/>
    <w:next w:val="Normal"/>
    <w:link w:val="Heading7Char"/>
    <w:uiPriority w:val="9"/>
    <w:semiHidden/>
    <w:unhideWhenUsed/>
    <w:qFormat/>
    <w:rsid w:val="00641096"/>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641096"/>
    <w:pPr>
      <w:keepNext/>
      <w:keepLines/>
      <w:spacing w:before="200" w:after="0"/>
      <w:outlineLvl w:val="7"/>
    </w:pPr>
    <w:rPr>
      <w:rFonts w:asciiTheme="majorHAnsi" w:eastAsiaTheme="majorEastAsia" w:hAnsiTheme="majorHAnsi" w:cstheme="majorBidi"/>
      <w:color w:val="156082" w:themeColor="accent1"/>
      <w:sz w:val="20"/>
      <w:szCs w:val="20"/>
    </w:rPr>
  </w:style>
  <w:style w:type="paragraph" w:styleId="Heading9">
    <w:name w:val="heading 9"/>
    <w:basedOn w:val="Normal"/>
    <w:next w:val="Normal"/>
    <w:link w:val="Heading9Char"/>
    <w:uiPriority w:val="9"/>
    <w:semiHidden/>
    <w:unhideWhenUsed/>
    <w:qFormat/>
    <w:rsid w:val="00641096"/>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link w:val="NoSpacingChar"/>
    <w:uiPriority w:val="1"/>
    <w:qFormat/>
    <w:rsid w:val="00641096"/>
    <w:pPr>
      <w:spacing w:after="0" w:line="240" w:lineRule="auto"/>
    </w:pPr>
  </w:style>
  <w:style w:type="character" w:customStyle="1" w:styleId="Heading1Char">
    <w:name w:val="Heading 1 Char"/>
    <w:basedOn w:val="DefaultParagraphFont"/>
    <w:link w:val="Heading1"/>
    <w:uiPriority w:val="9"/>
    <w:rsid w:val="00641096"/>
    <w:rPr>
      <w:rFonts w:asciiTheme="majorHAnsi" w:eastAsiaTheme="majorEastAsia" w:hAnsiTheme="majorHAnsi" w:cstheme="majorBidi"/>
      <w:b/>
      <w:bCs/>
      <w:color w:val="0F4761" w:themeColor="accent1" w:themeShade="BF"/>
      <w:sz w:val="28"/>
      <w:szCs w:val="28"/>
    </w:rPr>
  </w:style>
  <w:style w:type="character" w:customStyle="1" w:styleId="Heading2Char">
    <w:name w:val="Heading 2 Char"/>
    <w:basedOn w:val="DefaultParagraphFont"/>
    <w:link w:val="Heading2"/>
    <w:uiPriority w:val="9"/>
    <w:rsid w:val="00641096"/>
    <w:rPr>
      <w:rFonts w:asciiTheme="majorHAnsi" w:eastAsiaTheme="majorEastAsia" w:hAnsiTheme="majorHAnsi" w:cstheme="majorBidi"/>
      <w:b/>
      <w:bCs/>
      <w:color w:val="156082" w:themeColor="accent1"/>
      <w:sz w:val="26"/>
      <w:szCs w:val="26"/>
    </w:rPr>
  </w:style>
  <w:style w:type="character" w:customStyle="1" w:styleId="Heading3Char">
    <w:name w:val="Heading 3 Char"/>
    <w:basedOn w:val="DefaultParagraphFont"/>
    <w:link w:val="Heading3"/>
    <w:uiPriority w:val="9"/>
    <w:rsid w:val="00641096"/>
    <w:rPr>
      <w:rFonts w:asciiTheme="majorHAnsi" w:eastAsiaTheme="majorEastAsia" w:hAnsiTheme="majorHAnsi" w:cstheme="majorBidi"/>
      <w:b/>
      <w:bCs/>
      <w:color w:val="156082" w:themeColor="accent1"/>
    </w:rPr>
  </w:style>
  <w:style w:type="paragraph" w:styleId="Title">
    <w:name w:val="Title"/>
    <w:basedOn w:val="Normal"/>
    <w:next w:val="Normal"/>
    <w:link w:val="TitleChar"/>
    <w:uiPriority w:val="10"/>
    <w:qFormat/>
    <w:rsid w:val="00641096"/>
    <w:pPr>
      <w:pBdr>
        <w:bottom w:val="single" w:sz="8" w:space="4" w:color="156082" w:themeColor="accent1"/>
      </w:pBdr>
      <w:spacing w:after="300" w:line="240" w:lineRule="auto"/>
      <w:contextualSpacing/>
    </w:pPr>
    <w:rPr>
      <w:rFonts w:asciiTheme="majorHAnsi" w:eastAsiaTheme="majorEastAsia" w:hAnsiTheme="majorHAnsi" w:cstheme="majorBidi"/>
      <w:color w:val="0A1D30" w:themeColor="text2" w:themeShade="BF"/>
      <w:spacing w:val="5"/>
      <w:kern w:val="28"/>
      <w:sz w:val="52"/>
      <w:szCs w:val="52"/>
    </w:rPr>
  </w:style>
  <w:style w:type="character" w:customStyle="1" w:styleId="TitleChar">
    <w:name w:val="Title Char"/>
    <w:basedOn w:val="DefaultParagraphFont"/>
    <w:link w:val="Title"/>
    <w:uiPriority w:val="10"/>
    <w:rsid w:val="00641096"/>
    <w:rPr>
      <w:rFonts w:asciiTheme="majorHAnsi" w:eastAsiaTheme="majorEastAsia" w:hAnsiTheme="majorHAnsi" w:cstheme="majorBidi"/>
      <w:color w:val="0A1D30" w:themeColor="text2" w:themeShade="BF"/>
      <w:spacing w:val="5"/>
      <w:kern w:val="28"/>
      <w:sz w:val="52"/>
      <w:szCs w:val="52"/>
    </w:rPr>
  </w:style>
  <w:style w:type="paragraph" w:styleId="Subtitle">
    <w:name w:val="Subtitle"/>
    <w:basedOn w:val="Normal"/>
    <w:next w:val="Normal"/>
    <w:link w:val="SubtitleChar"/>
    <w:uiPriority w:val="11"/>
    <w:qFormat/>
    <w:rsid w:val="00641096"/>
    <w:pPr>
      <w:numPr>
        <w:ilvl w:val="1"/>
      </w:numPr>
    </w:pPr>
    <w:rPr>
      <w:rFonts w:asciiTheme="majorHAnsi" w:eastAsiaTheme="majorEastAsia" w:hAnsiTheme="majorHAnsi" w:cstheme="majorBidi"/>
      <w:i/>
      <w:iCs/>
      <w:color w:val="156082" w:themeColor="accent1"/>
      <w:spacing w:val="15"/>
      <w:sz w:val="24"/>
      <w:szCs w:val="24"/>
    </w:rPr>
  </w:style>
  <w:style w:type="character" w:customStyle="1" w:styleId="SubtitleChar">
    <w:name w:val="Subtitle Char"/>
    <w:basedOn w:val="DefaultParagraphFont"/>
    <w:link w:val="Subtitle"/>
    <w:uiPriority w:val="11"/>
    <w:rsid w:val="00641096"/>
    <w:rPr>
      <w:rFonts w:asciiTheme="majorHAnsi" w:eastAsiaTheme="majorEastAsia" w:hAnsiTheme="majorHAnsi" w:cstheme="majorBidi"/>
      <w:i/>
      <w:iCs/>
      <w:color w:val="156082" w:themeColor="accent1"/>
      <w:spacing w:val="15"/>
      <w:sz w:val="24"/>
      <w:szCs w:val="24"/>
    </w:rPr>
  </w:style>
  <w:style w:type="paragraph" w:styleId="ListParagraph">
    <w:name w:val="List Paragraph"/>
    <w:basedOn w:val="Normal"/>
    <w:uiPriority w:val="34"/>
    <w:qFormat/>
    <w:rsid w:val="00641096"/>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641096"/>
    <w:rPr>
      <w:i/>
      <w:iCs/>
      <w:color w:val="000000" w:themeColor="text1"/>
    </w:rPr>
  </w:style>
  <w:style w:type="character" w:customStyle="1" w:styleId="QuoteChar">
    <w:name w:val="Quote Char"/>
    <w:basedOn w:val="DefaultParagraphFont"/>
    <w:link w:val="Quote"/>
    <w:uiPriority w:val="29"/>
    <w:rsid w:val="00641096"/>
    <w:rPr>
      <w:i/>
      <w:iCs/>
      <w:color w:val="000000" w:themeColor="text1"/>
    </w:rPr>
  </w:style>
  <w:style w:type="character" w:customStyle="1" w:styleId="Heading4Char">
    <w:name w:val="Heading 4 Char"/>
    <w:basedOn w:val="DefaultParagraphFont"/>
    <w:link w:val="Heading4"/>
    <w:uiPriority w:val="9"/>
    <w:semiHidden/>
    <w:rsid w:val="00641096"/>
    <w:rPr>
      <w:rFonts w:asciiTheme="majorHAnsi" w:eastAsiaTheme="majorEastAsia" w:hAnsiTheme="majorHAnsi" w:cstheme="majorBidi"/>
      <w:b/>
      <w:bCs/>
      <w:i/>
      <w:iCs/>
      <w:color w:val="156082" w:themeColor="accent1"/>
    </w:rPr>
  </w:style>
  <w:style w:type="character" w:customStyle="1" w:styleId="Heading5Char">
    <w:name w:val="Heading 5 Char"/>
    <w:basedOn w:val="DefaultParagraphFont"/>
    <w:link w:val="Heading5"/>
    <w:uiPriority w:val="9"/>
    <w:semiHidden/>
    <w:rsid w:val="00641096"/>
    <w:rPr>
      <w:rFonts w:asciiTheme="majorHAnsi" w:eastAsiaTheme="majorEastAsia" w:hAnsiTheme="majorHAnsi" w:cstheme="majorBidi"/>
      <w:color w:val="0A2F40" w:themeColor="accent1" w:themeShade="7F"/>
    </w:rPr>
  </w:style>
  <w:style w:type="character" w:customStyle="1" w:styleId="Heading6Char">
    <w:name w:val="Heading 6 Char"/>
    <w:basedOn w:val="DefaultParagraphFont"/>
    <w:link w:val="Heading6"/>
    <w:uiPriority w:val="9"/>
    <w:semiHidden/>
    <w:rsid w:val="00641096"/>
    <w:rPr>
      <w:rFonts w:asciiTheme="majorHAnsi" w:eastAsiaTheme="majorEastAsia" w:hAnsiTheme="majorHAnsi" w:cstheme="majorBidi"/>
      <w:i/>
      <w:iCs/>
      <w:color w:val="0A2F40" w:themeColor="accent1" w:themeShade="7F"/>
    </w:rPr>
  </w:style>
  <w:style w:type="character" w:customStyle="1" w:styleId="Heading7Char">
    <w:name w:val="Heading 7 Char"/>
    <w:basedOn w:val="DefaultParagraphFont"/>
    <w:link w:val="Heading7"/>
    <w:uiPriority w:val="9"/>
    <w:semiHidden/>
    <w:rsid w:val="00641096"/>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641096"/>
    <w:rPr>
      <w:rFonts w:asciiTheme="majorHAnsi" w:eastAsiaTheme="majorEastAsia" w:hAnsiTheme="majorHAnsi" w:cstheme="majorBidi"/>
      <w:color w:val="156082" w:themeColor="accent1"/>
      <w:sz w:val="20"/>
      <w:szCs w:val="20"/>
    </w:rPr>
  </w:style>
  <w:style w:type="character" w:customStyle="1" w:styleId="Heading9Char">
    <w:name w:val="Heading 9 Char"/>
    <w:basedOn w:val="DefaultParagraphFont"/>
    <w:link w:val="Heading9"/>
    <w:uiPriority w:val="9"/>
    <w:semiHidden/>
    <w:rsid w:val="00641096"/>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641096"/>
    <w:pPr>
      <w:spacing w:line="240" w:lineRule="auto"/>
    </w:pPr>
    <w:rPr>
      <w:b/>
      <w:bCs/>
      <w:color w:val="156082" w:themeColor="accent1"/>
      <w:sz w:val="18"/>
      <w:szCs w:val="18"/>
    </w:rPr>
  </w:style>
  <w:style w:type="character" w:styleId="Strong">
    <w:name w:val="Strong"/>
    <w:basedOn w:val="DefaultParagraphFont"/>
    <w:uiPriority w:val="22"/>
    <w:qFormat/>
    <w:rsid w:val="00641096"/>
    <w:rPr>
      <w:b/>
      <w:bCs/>
    </w:rPr>
  </w:style>
  <w:style w:type="character" w:styleId="Emphasis">
    <w:name w:val="Emphasis"/>
    <w:basedOn w:val="DefaultParagraphFont"/>
    <w:uiPriority w:val="20"/>
    <w:qFormat/>
    <w:rsid w:val="00641096"/>
    <w:rPr>
      <w:i/>
      <w:iCs/>
    </w:rPr>
  </w:style>
  <w:style w:type="paragraph" w:styleId="IntenseQuote">
    <w:name w:val="Intense Quote"/>
    <w:basedOn w:val="Normal"/>
    <w:next w:val="Normal"/>
    <w:link w:val="IntenseQuoteChar"/>
    <w:uiPriority w:val="30"/>
    <w:qFormat/>
    <w:rsid w:val="00641096"/>
    <w:pPr>
      <w:pBdr>
        <w:bottom w:val="single" w:sz="4" w:space="4" w:color="156082" w:themeColor="accent1"/>
      </w:pBdr>
      <w:spacing w:before="200" w:after="280"/>
      <w:ind w:left="936" w:right="936"/>
    </w:pPr>
    <w:rPr>
      <w:b/>
      <w:bCs/>
      <w:i/>
      <w:iCs/>
      <w:color w:val="156082" w:themeColor="accent1"/>
    </w:rPr>
  </w:style>
  <w:style w:type="character" w:customStyle="1" w:styleId="IntenseQuoteChar">
    <w:name w:val="Intense Quote Char"/>
    <w:basedOn w:val="DefaultParagraphFont"/>
    <w:link w:val="IntenseQuote"/>
    <w:uiPriority w:val="30"/>
    <w:rsid w:val="00641096"/>
    <w:rPr>
      <w:b/>
      <w:bCs/>
      <w:i/>
      <w:iCs/>
      <w:color w:val="156082" w:themeColor="accent1"/>
    </w:rPr>
  </w:style>
  <w:style w:type="character" w:styleId="SubtleEmphasis">
    <w:name w:val="Subtle Emphasis"/>
    <w:basedOn w:val="DefaultParagraphFont"/>
    <w:uiPriority w:val="19"/>
    <w:qFormat/>
    <w:rsid w:val="00641096"/>
    <w:rPr>
      <w:i/>
      <w:iCs/>
      <w:color w:val="808080" w:themeColor="text1" w:themeTint="7F"/>
    </w:rPr>
  </w:style>
  <w:style w:type="character" w:styleId="IntenseEmphasis">
    <w:name w:val="Intense Emphasis"/>
    <w:basedOn w:val="DefaultParagraphFont"/>
    <w:uiPriority w:val="21"/>
    <w:qFormat/>
    <w:rsid w:val="00641096"/>
    <w:rPr>
      <w:b/>
      <w:bCs/>
      <w:i/>
      <w:iCs/>
      <w:color w:val="156082" w:themeColor="accent1"/>
    </w:rPr>
  </w:style>
  <w:style w:type="character" w:styleId="SubtleReference">
    <w:name w:val="Subtle Reference"/>
    <w:basedOn w:val="DefaultParagraphFont"/>
    <w:uiPriority w:val="31"/>
    <w:qFormat/>
    <w:rsid w:val="00641096"/>
    <w:rPr>
      <w:smallCaps/>
      <w:color w:val="E97132" w:themeColor="accent2"/>
      <w:u w:val="single"/>
    </w:rPr>
  </w:style>
  <w:style w:type="character" w:styleId="IntenseReference">
    <w:name w:val="Intense Reference"/>
    <w:basedOn w:val="DefaultParagraphFont"/>
    <w:uiPriority w:val="32"/>
    <w:qFormat/>
    <w:rsid w:val="00641096"/>
    <w:rPr>
      <w:b/>
      <w:bCs/>
      <w:smallCaps/>
      <w:color w:val="E97132" w:themeColor="accent2"/>
      <w:spacing w:val="5"/>
      <w:u w:val="single"/>
    </w:rPr>
  </w:style>
  <w:style w:type="character" w:styleId="BookTitle">
    <w:name w:val="Book Title"/>
    <w:basedOn w:val="DefaultParagraphFont"/>
    <w:uiPriority w:val="33"/>
    <w:qFormat/>
    <w:rsid w:val="00641096"/>
    <w:rPr>
      <w:b/>
      <w:bCs/>
      <w:smallCaps/>
      <w:spacing w:val="5"/>
    </w:rPr>
  </w:style>
  <w:style w:type="paragraph" w:styleId="TOCHeading">
    <w:name w:val="TOC Heading"/>
    <w:basedOn w:val="Heading1"/>
    <w:next w:val="Normal"/>
    <w:uiPriority w:val="39"/>
    <w:semiHidden/>
    <w:unhideWhenUsed/>
    <w:qFormat/>
    <w:rsid w:val="00641096"/>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0F4761" w:themeColor="accent1" w:themeShade="BF"/>
    </w:rPr>
    <w:tblPr>
      <w:tblStyleRowBandSize w:val="1"/>
      <w:tblStyleColBandSize w:val="1"/>
      <w:tblBorders>
        <w:top w:val="single" w:sz="8" w:space="0" w:color="156082" w:themeColor="accent1"/>
        <w:bottom w:val="single" w:sz="8" w:space="0" w:color="156082" w:themeColor="accent1"/>
      </w:tblBorders>
    </w:tblPr>
    <w:tblStylePr w:type="fir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la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left w:val="nil"/>
          <w:right w:val="nil"/>
          <w:insideH w:val="nil"/>
          <w:insideV w:val="nil"/>
        </w:tcBorders>
        <w:shd w:val="clear" w:color="auto" w:fill="B2DEF2" w:themeFill="accent1" w:themeFillTint="3F"/>
      </w:tcPr>
    </w:tblStylePr>
  </w:style>
  <w:style w:type="table" w:styleId="LightShading-Accent2">
    <w:name w:val="Light Shading Accent 2"/>
    <w:basedOn w:val="TableNormal"/>
    <w:uiPriority w:val="60"/>
    <w:rsid w:val="00FC693F"/>
    <w:pPr>
      <w:spacing w:after="0" w:line="240" w:lineRule="auto"/>
    </w:pPr>
    <w:rPr>
      <w:color w:val="BF4E14" w:themeColor="accent2" w:themeShade="BF"/>
    </w:rPr>
    <w:tblPr>
      <w:tblStyleRowBandSize w:val="1"/>
      <w:tblStyleColBandSize w:val="1"/>
      <w:tblBorders>
        <w:top w:val="single" w:sz="8" w:space="0" w:color="E97132" w:themeColor="accent2"/>
        <w:bottom w:val="single" w:sz="8" w:space="0" w:color="E97132" w:themeColor="accent2"/>
      </w:tblBorders>
    </w:tblPr>
    <w:tblStylePr w:type="fir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la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left w:val="nil"/>
          <w:right w:val="nil"/>
          <w:insideH w:val="nil"/>
          <w:insideV w:val="nil"/>
        </w:tcBorders>
        <w:shd w:val="clear" w:color="auto" w:fill="F9DBCC" w:themeFill="accent2" w:themeFillTint="3F"/>
      </w:tcPr>
    </w:tblStylePr>
  </w:style>
  <w:style w:type="table" w:styleId="LightShading-Accent3">
    <w:name w:val="Light Shading Accent 3"/>
    <w:basedOn w:val="TableNormal"/>
    <w:uiPriority w:val="60"/>
    <w:rsid w:val="00FC693F"/>
    <w:pPr>
      <w:spacing w:after="0" w:line="240" w:lineRule="auto"/>
    </w:pPr>
    <w:rPr>
      <w:color w:val="124F1A" w:themeColor="accent3" w:themeShade="BF"/>
    </w:rPr>
    <w:tblPr>
      <w:tblStyleRowBandSize w:val="1"/>
      <w:tblStyleColBandSize w:val="1"/>
      <w:tblBorders>
        <w:top w:val="single" w:sz="8" w:space="0" w:color="196B24" w:themeColor="accent3"/>
        <w:bottom w:val="single" w:sz="8" w:space="0" w:color="196B24" w:themeColor="accent3"/>
      </w:tblBorders>
    </w:tblPr>
    <w:tblStylePr w:type="fir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la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left w:val="nil"/>
          <w:right w:val="nil"/>
          <w:insideH w:val="nil"/>
          <w:insideV w:val="nil"/>
        </w:tcBorders>
        <w:shd w:val="clear" w:color="auto" w:fill="B3EDBA" w:themeFill="accent3" w:themeFillTint="3F"/>
      </w:tcPr>
    </w:tblStylePr>
  </w:style>
  <w:style w:type="table" w:styleId="LightShading-Accent4">
    <w:name w:val="Light Shading Accent 4"/>
    <w:basedOn w:val="TableNormal"/>
    <w:uiPriority w:val="60"/>
    <w:rsid w:val="00FC693F"/>
    <w:pPr>
      <w:spacing w:after="0" w:line="240" w:lineRule="auto"/>
    </w:pPr>
    <w:rPr>
      <w:color w:val="0B769F" w:themeColor="accent4" w:themeShade="BF"/>
    </w:rPr>
    <w:tblPr>
      <w:tblStyleRowBandSize w:val="1"/>
      <w:tblStyleColBandSize w:val="1"/>
      <w:tblBorders>
        <w:top w:val="single" w:sz="8" w:space="0" w:color="0F9ED5" w:themeColor="accent4"/>
        <w:bottom w:val="single" w:sz="8" w:space="0" w:color="0F9ED5" w:themeColor="accent4"/>
      </w:tblBorders>
    </w:tblPr>
    <w:tblStylePr w:type="fir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la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left w:val="nil"/>
          <w:right w:val="nil"/>
          <w:insideH w:val="nil"/>
          <w:insideV w:val="nil"/>
        </w:tcBorders>
        <w:shd w:val="clear" w:color="auto" w:fill="BDE9FA" w:themeFill="accent4" w:themeFillTint="3F"/>
      </w:tcPr>
    </w:tblStylePr>
  </w:style>
  <w:style w:type="table" w:styleId="LightShading-Accent5">
    <w:name w:val="Light Shading Accent 5"/>
    <w:basedOn w:val="TableNormal"/>
    <w:uiPriority w:val="60"/>
    <w:rsid w:val="00FC693F"/>
    <w:pPr>
      <w:spacing w:after="0" w:line="240" w:lineRule="auto"/>
    </w:pPr>
    <w:rPr>
      <w:color w:val="77206D" w:themeColor="accent5" w:themeShade="BF"/>
    </w:rPr>
    <w:tblPr>
      <w:tblStyleRowBandSize w:val="1"/>
      <w:tblStyleColBandSize w:val="1"/>
      <w:tblBorders>
        <w:top w:val="single" w:sz="8" w:space="0" w:color="A02B93" w:themeColor="accent5"/>
        <w:bottom w:val="single" w:sz="8" w:space="0" w:color="A02B93" w:themeColor="accent5"/>
      </w:tblBorders>
    </w:tblPr>
    <w:tblStylePr w:type="fir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la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left w:val="nil"/>
          <w:right w:val="nil"/>
          <w:insideH w:val="nil"/>
          <w:insideV w:val="nil"/>
        </w:tcBorders>
        <w:shd w:val="clear" w:color="auto" w:fill="EFC3E9" w:themeFill="accent5" w:themeFillTint="3F"/>
      </w:tcPr>
    </w:tblStylePr>
  </w:style>
  <w:style w:type="table" w:styleId="LightShading-Accent6">
    <w:name w:val="Light Shading Accent 6"/>
    <w:basedOn w:val="TableNormal"/>
    <w:uiPriority w:val="60"/>
    <w:rsid w:val="00FC693F"/>
    <w:pPr>
      <w:spacing w:after="0" w:line="240" w:lineRule="auto"/>
    </w:pPr>
    <w:rPr>
      <w:color w:val="3A7C22" w:themeColor="accent6" w:themeShade="BF"/>
    </w:rPr>
    <w:tblPr>
      <w:tblStyleRowBandSize w:val="1"/>
      <w:tblStyleColBandSize w:val="1"/>
      <w:tblBorders>
        <w:top w:val="single" w:sz="8" w:space="0" w:color="4EA72E" w:themeColor="accent6"/>
        <w:bottom w:val="single" w:sz="8" w:space="0" w:color="4EA72E" w:themeColor="accent6"/>
      </w:tblBorders>
    </w:tblPr>
    <w:tblStylePr w:type="fir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la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left w:val="nil"/>
          <w:right w:val="nil"/>
          <w:insideH w:val="nil"/>
          <w:insideV w:val="nil"/>
        </w:tcBorders>
        <w:shd w:val="clear" w:color="auto" w:fill="D0EFC5"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pPr>
        <w:spacing w:before="0" w:after="0" w:line="240" w:lineRule="auto"/>
      </w:pPr>
      <w:rPr>
        <w:b/>
        <w:bCs/>
        <w:color w:val="FFFFFF" w:themeColor="background1"/>
      </w:rPr>
      <w:tblPr/>
      <w:tcPr>
        <w:shd w:val="clear" w:color="auto" w:fill="156082" w:themeFill="accent1"/>
      </w:tcPr>
    </w:tblStylePr>
    <w:tblStylePr w:type="lastRow">
      <w:pPr>
        <w:spacing w:before="0" w:after="0" w:line="240" w:lineRule="auto"/>
      </w:pPr>
      <w:rPr>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tcBorders>
      </w:tcPr>
    </w:tblStylePr>
    <w:tblStylePr w:type="firstCol">
      <w:rPr>
        <w:b/>
        <w:bCs/>
      </w:rPr>
    </w:tblStylePr>
    <w:tblStylePr w:type="lastCol">
      <w:rPr>
        <w:b/>
        <w:bCs/>
      </w:r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pPr>
        <w:spacing w:before="0" w:after="0" w:line="240" w:lineRule="auto"/>
      </w:pPr>
      <w:rPr>
        <w:b/>
        <w:bCs/>
        <w:color w:val="FFFFFF" w:themeColor="background1"/>
      </w:rPr>
      <w:tblPr/>
      <w:tcPr>
        <w:shd w:val="clear" w:color="auto" w:fill="E97132" w:themeFill="accent2"/>
      </w:tcPr>
    </w:tblStylePr>
    <w:tblStylePr w:type="lastRow">
      <w:pPr>
        <w:spacing w:before="0" w:after="0" w:line="240" w:lineRule="auto"/>
      </w:pPr>
      <w:rPr>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tcBorders>
      </w:tcPr>
    </w:tblStylePr>
    <w:tblStylePr w:type="firstCol">
      <w:rPr>
        <w:b/>
        <w:bCs/>
      </w:rPr>
    </w:tblStylePr>
    <w:tblStylePr w:type="lastCol">
      <w:rPr>
        <w:b/>
        <w:bCs/>
      </w:r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pPr>
        <w:spacing w:before="0" w:after="0" w:line="240" w:lineRule="auto"/>
      </w:pPr>
      <w:rPr>
        <w:b/>
        <w:bCs/>
        <w:color w:val="FFFFFF" w:themeColor="background1"/>
      </w:rPr>
      <w:tblPr/>
      <w:tcPr>
        <w:shd w:val="clear" w:color="auto" w:fill="196B24" w:themeFill="accent3"/>
      </w:tcPr>
    </w:tblStylePr>
    <w:tblStylePr w:type="lastRow">
      <w:pPr>
        <w:spacing w:before="0" w:after="0" w:line="240" w:lineRule="auto"/>
      </w:pPr>
      <w:rPr>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tcBorders>
      </w:tcPr>
    </w:tblStylePr>
    <w:tblStylePr w:type="firstCol">
      <w:rPr>
        <w:b/>
        <w:bCs/>
      </w:rPr>
    </w:tblStylePr>
    <w:tblStylePr w:type="lastCol">
      <w:rPr>
        <w:b/>
        <w:bCs/>
      </w:r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pPr>
        <w:spacing w:before="0" w:after="0" w:line="240" w:lineRule="auto"/>
      </w:pPr>
      <w:rPr>
        <w:b/>
        <w:bCs/>
        <w:color w:val="FFFFFF" w:themeColor="background1"/>
      </w:rPr>
      <w:tblPr/>
      <w:tcPr>
        <w:shd w:val="clear" w:color="auto" w:fill="0F9ED5" w:themeFill="accent4"/>
      </w:tcPr>
    </w:tblStylePr>
    <w:tblStylePr w:type="lastRow">
      <w:pPr>
        <w:spacing w:before="0" w:after="0" w:line="240" w:lineRule="auto"/>
      </w:pPr>
      <w:rPr>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tcBorders>
      </w:tcPr>
    </w:tblStylePr>
    <w:tblStylePr w:type="firstCol">
      <w:rPr>
        <w:b/>
        <w:bCs/>
      </w:rPr>
    </w:tblStylePr>
    <w:tblStylePr w:type="lastCol">
      <w:rPr>
        <w:b/>
        <w:bCs/>
      </w:r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pPr>
        <w:spacing w:before="0" w:after="0" w:line="240" w:lineRule="auto"/>
      </w:pPr>
      <w:rPr>
        <w:b/>
        <w:bCs/>
        <w:color w:val="FFFFFF" w:themeColor="background1"/>
      </w:rPr>
      <w:tblPr/>
      <w:tcPr>
        <w:shd w:val="clear" w:color="auto" w:fill="A02B93" w:themeFill="accent5"/>
      </w:tcPr>
    </w:tblStylePr>
    <w:tblStylePr w:type="lastRow">
      <w:pPr>
        <w:spacing w:before="0" w:after="0" w:line="240" w:lineRule="auto"/>
      </w:pPr>
      <w:rPr>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tcBorders>
      </w:tcPr>
    </w:tblStylePr>
    <w:tblStylePr w:type="firstCol">
      <w:rPr>
        <w:b/>
        <w:bCs/>
      </w:rPr>
    </w:tblStylePr>
    <w:tblStylePr w:type="lastCol">
      <w:rPr>
        <w:b/>
        <w:bCs/>
      </w:r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pPr>
        <w:spacing w:before="0" w:after="0" w:line="240" w:lineRule="auto"/>
      </w:pPr>
      <w:rPr>
        <w:b/>
        <w:bCs/>
        <w:color w:val="FFFFFF" w:themeColor="background1"/>
      </w:rPr>
      <w:tblPr/>
      <w:tcPr>
        <w:shd w:val="clear" w:color="auto" w:fill="4EA72E" w:themeFill="accent6"/>
      </w:tcPr>
    </w:tblStylePr>
    <w:tblStylePr w:type="lastRow">
      <w:pPr>
        <w:spacing w:before="0" w:after="0" w:line="240" w:lineRule="auto"/>
      </w:pPr>
      <w:rPr>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tcBorders>
      </w:tcPr>
    </w:tblStylePr>
    <w:tblStylePr w:type="firstCol">
      <w:rPr>
        <w:b/>
        <w:bCs/>
      </w:rPr>
    </w:tblStylePr>
    <w:tblStylePr w:type="lastCol">
      <w:rPr>
        <w:b/>
        <w:bCs/>
      </w:r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18" w:space="0" w:color="156082" w:themeColor="accent1"/>
          <w:right w:val="single" w:sz="8" w:space="0" w:color="156082" w:themeColor="accent1"/>
          <w:insideH w:val="nil"/>
          <w:insideV w:val="single" w:sz="8" w:space="0" w:color="156082"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insideH w:val="nil"/>
          <w:insideV w:val="single" w:sz="8" w:space="0" w:color="156082"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shd w:val="clear" w:color="auto" w:fill="B2DEF2" w:themeFill="accent1" w:themeFillTint="3F"/>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shd w:val="clear" w:color="auto" w:fill="B2DEF2" w:themeFill="accent1" w:themeFillTint="3F"/>
      </w:tcPr>
    </w:tblStylePr>
    <w:tblStylePr w:type="band2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18" w:space="0" w:color="E97132" w:themeColor="accent2"/>
          <w:right w:val="single" w:sz="8" w:space="0" w:color="E97132" w:themeColor="accent2"/>
          <w:insideH w:val="nil"/>
          <w:insideV w:val="single" w:sz="8" w:space="0" w:color="E97132"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insideH w:val="nil"/>
          <w:insideV w:val="single" w:sz="8" w:space="0" w:color="E97132"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shd w:val="clear" w:color="auto" w:fill="F9DBCC" w:themeFill="accent2" w:themeFillTint="3F"/>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shd w:val="clear" w:color="auto" w:fill="F9DBCC" w:themeFill="accent2" w:themeFillTint="3F"/>
      </w:tcPr>
    </w:tblStylePr>
    <w:tblStylePr w:type="band2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18" w:space="0" w:color="196B24" w:themeColor="accent3"/>
          <w:right w:val="single" w:sz="8" w:space="0" w:color="196B24" w:themeColor="accent3"/>
          <w:insideH w:val="nil"/>
          <w:insideV w:val="single" w:sz="8" w:space="0" w:color="196B24"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insideH w:val="nil"/>
          <w:insideV w:val="single" w:sz="8" w:space="0" w:color="196B24"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shd w:val="clear" w:color="auto" w:fill="B3EDBA" w:themeFill="accent3" w:themeFillTint="3F"/>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shd w:val="clear" w:color="auto" w:fill="B3EDBA" w:themeFill="accent3" w:themeFillTint="3F"/>
      </w:tcPr>
    </w:tblStylePr>
    <w:tblStylePr w:type="band2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18" w:space="0" w:color="0F9ED5" w:themeColor="accent4"/>
          <w:right w:val="single" w:sz="8" w:space="0" w:color="0F9ED5" w:themeColor="accent4"/>
          <w:insideH w:val="nil"/>
          <w:insideV w:val="single" w:sz="8" w:space="0" w:color="0F9ED5"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insideH w:val="nil"/>
          <w:insideV w:val="single" w:sz="8" w:space="0" w:color="0F9ED5"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shd w:val="clear" w:color="auto" w:fill="BDE9FA" w:themeFill="accent4" w:themeFillTint="3F"/>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shd w:val="clear" w:color="auto" w:fill="BDE9FA" w:themeFill="accent4" w:themeFillTint="3F"/>
      </w:tcPr>
    </w:tblStylePr>
    <w:tblStylePr w:type="band2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18" w:space="0" w:color="A02B93" w:themeColor="accent5"/>
          <w:right w:val="single" w:sz="8" w:space="0" w:color="A02B93" w:themeColor="accent5"/>
          <w:insideH w:val="nil"/>
          <w:insideV w:val="single" w:sz="8" w:space="0" w:color="A02B93"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insideH w:val="nil"/>
          <w:insideV w:val="single" w:sz="8" w:space="0" w:color="A02B93"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shd w:val="clear" w:color="auto" w:fill="EFC3E9" w:themeFill="accent5" w:themeFillTint="3F"/>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shd w:val="clear" w:color="auto" w:fill="EFC3E9" w:themeFill="accent5" w:themeFillTint="3F"/>
      </w:tcPr>
    </w:tblStylePr>
    <w:tblStylePr w:type="band2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18" w:space="0" w:color="4EA72E" w:themeColor="accent6"/>
          <w:right w:val="single" w:sz="8" w:space="0" w:color="4EA72E" w:themeColor="accent6"/>
          <w:insideH w:val="nil"/>
          <w:insideV w:val="single" w:sz="8" w:space="0" w:color="4EA72E"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insideH w:val="nil"/>
          <w:insideV w:val="single" w:sz="8" w:space="0" w:color="4EA72E"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shd w:val="clear" w:color="auto" w:fill="D0EFC5" w:themeFill="accent6" w:themeFillTint="3F"/>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shd w:val="clear" w:color="auto" w:fill="D0EFC5" w:themeFill="accent6" w:themeFillTint="3F"/>
      </w:tcPr>
    </w:tblStylePr>
    <w:tblStylePr w:type="band2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tblBorders>
    </w:tblPr>
    <w:tblStylePr w:type="firstRow">
      <w:pPr>
        <w:spacing w:before="0" w:after="0" w:line="240" w:lineRule="auto"/>
      </w:pPr>
      <w:rPr>
        <w:b/>
        <w:bCs/>
        <w:color w:val="FFFFFF" w:themeColor="background1"/>
      </w:rPr>
      <w:tblPr/>
      <w:tcPr>
        <w:tc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shd w:val="clear" w:color="auto" w:fill="156082" w:themeFill="accent1"/>
      </w:tcPr>
    </w:tblStylePr>
    <w:tblStylePr w:type="lastRow">
      <w:pPr>
        <w:spacing w:before="0" w:after="0" w:line="240" w:lineRule="auto"/>
      </w:pPr>
      <w:rPr>
        <w:b/>
        <w:bCs/>
      </w:rPr>
      <w:tblPr/>
      <w:tcPr>
        <w:tcBorders>
          <w:top w:val="double" w:sz="6"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tcPr>
    </w:tblStylePr>
    <w:tblStylePr w:type="firstCol">
      <w:rPr>
        <w:b/>
        <w:bCs/>
      </w:rPr>
    </w:tblStylePr>
    <w:tblStylePr w:type="lastCol">
      <w:rPr>
        <w:b/>
        <w:bCs/>
      </w:rPr>
    </w:tblStylePr>
    <w:tblStylePr w:type="band1Vert">
      <w:tblPr/>
      <w:tcPr>
        <w:shd w:val="clear" w:color="auto" w:fill="B2DEF2" w:themeFill="accent1" w:themeFillTint="3F"/>
      </w:tcPr>
    </w:tblStylePr>
    <w:tblStylePr w:type="band1Horz">
      <w:tblPr/>
      <w:tcPr>
        <w:tcBorders>
          <w:insideH w:val="nil"/>
          <w:insideV w:val="nil"/>
        </w:tcBorders>
        <w:shd w:val="clear" w:color="auto" w:fill="B2DEF2"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tblBorders>
    </w:tblPr>
    <w:tblStylePr w:type="firstRow">
      <w:pPr>
        <w:spacing w:before="0" w:after="0" w:line="240" w:lineRule="auto"/>
      </w:pPr>
      <w:rPr>
        <w:b/>
        <w:bCs/>
        <w:color w:val="FFFFFF" w:themeColor="background1"/>
      </w:rPr>
      <w:tblPr/>
      <w:tcPr>
        <w:tc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shd w:val="clear" w:color="auto" w:fill="E97132" w:themeFill="accent2"/>
      </w:tcPr>
    </w:tblStylePr>
    <w:tblStylePr w:type="lastRow">
      <w:pPr>
        <w:spacing w:before="0" w:after="0" w:line="240" w:lineRule="auto"/>
      </w:pPr>
      <w:rPr>
        <w:b/>
        <w:bCs/>
      </w:rPr>
      <w:tblPr/>
      <w:tcPr>
        <w:tcBorders>
          <w:top w:val="double" w:sz="6"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tcPr>
    </w:tblStylePr>
    <w:tblStylePr w:type="firstCol">
      <w:rPr>
        <w:b/>
        <w:bCs/>
      </w:rPr>
    </w:tblStylePr>
    <w:tblStylePr w:type="lastCol">
      <w:rPr>
        <w:b/>
        <w:bCs/>
      </w:rPr>
    </w:tblStylePr>
    <w:tblStylePr w:type="band1Vert">
      <w:tblPr/>
      <w:tcPr>
        <w:shd w:val="clear" w:color="auto" w:fill="F9DBCC" w:themeFill="accent2" w:themeFillTint="3F"/>
      </w:tcPr>
    </w:tblStylePr>
    <w:tblStylePr w:type="band1Horz">
      <w:tblPr/>
      <w:tcPr>
        <w:tcBorders>
          <w:insideH w:val="nil"/>
          <w:insideV w:val="nil"/>
        </w:tcBorders>
        <w:shd w:val="clear" w:color="auto" w:fill="F9DBCC"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tblBorders>
    </w:tblPr>
    <w:tblStylePr w:type="firstRow">
      <w:pPr>
        <w:spacing w:before="0" w:after="0" w:line="240" w:lineRule="auto"/>
      </w:pPr>
      <w:rPr>
        <w:b/>
        <w:bCs/>
        <w:color w:val="FFFFFF" w:themeColor="background1"/>
      </w:rPr>
      <w:tblPr/>
      <w:tcPr>
        <w:tc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shd w:val="clear" w:color="auto" w:fill="196B24" w:themeFill="accent3"/>
      </w:tcPr>
    </w:tblStylePr>
    <w:tblStylePr w:type="lastRow">
      <w:pPr>
        <w:spacing w:before="0" w:after="0" w:line="240" w:lineRule="auto"/>
      </w:pPr>
      <w:rPr>
        <w:b/>
        <w:bCs/>
      </w:rPr>
      <w:tblPr/>
      <w:tcPr>
        <w:tcBorders>
          <w:top w:val="double" w:sz="6"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tcPr>
    </w:tblStylePr>
    <w:tblStylePr w:type="firstCol">
      <w:rPr>
        <w:b/>
        <w:bCs/>
      </w:rPr>
    </w:tblStylePr>
    <w:tblStylePr w:type="lastCol">
      <w:rPr>
        <w:b/>
        <w:bCs/>
      </w:rPr>
    </w:tblStylePr>
    <w:tblStylePr w:type="band1Vert">
      <w:tblPr/>
      <w:tcPr>
        <w:shd w:val="clear" w:color="auto" w:fill="B3EDBA" w:themeFill="accent3" w:themeFillTint="3F"/>
      </w:tcPr>
    </w:tblStylePr>
    <w:tblStylePr w:type="band1Horz">
      <w:tblPr/>
      <w:tcPr>
        <w:tcBorders>
          <w:insideH w:val="nil"/>
          <w:insideV w:val="nil"/>
        </w:tcBorders>
        <w:shd w:val="clear" w:color="auto" w:fill="B3EDBA"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tblBorders>
    </w:tblPr>
    <w:tblStylePr w:type="firstRow">
      <w:pPr>
        <w:spacing w:before="0" w:after="0" w:line="240" w:lineRule="auto"/>
      </w:pPr>
      <w:rPr>
        <w:b/>
        <w:bCs/>
        <w:color w:val="FFFFFF" w:themeColor="background1"/>
      </w:rPr>
      <w:tblPr/>
      <w:tcPr>
        <w:tc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shd w:val="clear" w:color="auto" w:fill="0F9ED5" w:themeFill="accent4"/>
      </w:tcPr>
    </w:tblStylePr>
    <w:tblStylePr w:type="lastRow">
      <w:pPr>
        <w:spacing w:before="0" w:after="0" w:line="240" w:lineRule="auto"/>
      </w:pPr>
      <w:rPr>
        <w:b/>
        <w:bCs/>
      </w:rPr>
      <w:tblPr/>
      <w:tcPr>
        <w:tcBorders>
          <w:top w:val="double" w:sz="6"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tcPr>
    </w:tblStylePr>
    <w:tblStylePr w:type="firstCol">
      <w:rPr>
        <w:b/>
        <w:bCs/>
      </w:rPr>
    </w:tblStylePr>
    <w:tblStylePr w:type="lastCol">
      <w:rPr>
        <w:b/>
        <w:bCs/>
      </w:rPr>
    </w:tblStylePr>
    <w:tblStylePr w:type="band1Vert">
      <w:tblPr/>
      <w:tcPr>
        <w:shd w:val="clear" w:color="auto" w:fill="BDE9FA" w:themeFill="accent4" w:themeFillTint="3F"/>
      </w:tcPr>
    </w:tblStylePr>
    <w:tblStylePr w:type="band1Horz">
      <w:tblPr/>
      <w:tcPr>
        <w:tcBorders>
          <w:insideH w:val="nil"/>
          <w:insideV w:val="nil"/>
        </w:tcBorders>
        <w:shd w:val="clear" w:color="auto" w:fill="BDE9FA"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tblBorders>
    </w:tblPr>
    <w:tblStylePr w:type="firstRow">
      <w:pPr>
        <w:spacing w:before="0" w:after="0" w:line="240" w:lineRule="auto"/>
      </w:pPr>
      <w:rPr>
        <w:b/>
        <w:bCs/>
        <w:color w:val="FFFFFF" w:themeColor="background1"/>
      </w:rPr>
      <w:tblPr/>
      <w:tcPr>
        <w:tc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shd w:val="clear" w:color="auto" w:fill="A02B93" w:themeFill="accent5"/>
      </w:tcPr>
    </w:tblStylePr>
    <w:tblStylePr w:type="lastRow">
      <w:pPr>
        <w:spacing w:before="0" w:after="0" w:line="240" w:lineRule="auto"/>
      </w:pPr>
      <w:rPr>
        <w:b/>
        <w:bCs/>
      </w:rPr>
      <w:tblPr/>
      <w:tcPr>
        <w:tcBorders>
          <w:top w:val="double" w:sz="6"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tcPr>
    </w:tblStylePr>
    <w:tblStylePr w:type="firstCol">
      <w:rPr>
        <w:b/>
        <w:bCs/>
      </w:rPr>
    </w:tblStylePr>
    <w:tblStylePr w:type="lastCol">
      <w:rPr>
        <w:b/>
        <w:bCs/>
      </w:rPr>
    </w:tblStylePr>
    <w:tblStylePr w:type="band1Vert">
      <w:tblPr/>
      <w:tcPr>
        <w:shd w:val="clear" w:color="auto" w:fill="EFC3E9" w:themeFill="accent5" w:themeFillTint="3F"/>
      </w:tcPr>
    </w:tblStylePr>
    <w:tblStylePr w:type="band1Horz">
      <w:tblPr/>
      <w:tcPr>
        <w:tcBorders>
          <w:insideH w:val="nil"/>
          <w:insideV w:val="nil"/>
        </w:tcBorders>
        <w:shd w:val="clear" w:color="auto" w:fill="EFC3E9"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tblBorders>
    </w:tblPr>
    <w:tblStylePr w:type="firstRow">
      <w:pPr>
        <w:spacing w:before="0" w:after="0" w:line="240" w:lineRule="auto"/>
      </w:pPr>
      <w:rPr>
        <w:b/>
        <w:bCs/>
        <w:color w:val="FFFFFF" w:themeColor="background1"/>
      </w:rPr>
      <w:tblPr/>
      <w:tcPr>
        <w:tc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shd w:val="clear" w:color="auto" w:fill="4EA72E" w:themeFill="accent6"/>
      </w:tcPr>
    </w:tblStylePr>
    <w:tblStylePr w:type="lastRow">
      <w:pPr>
        <w:spacing w:before="0" w:after="0" w:line="240" w:lineRule="auto"/>
      </w:pPr>
      <w:rPr>
        <w:b/>
        <w:bCs/>
      </w:rPr>
      <w:tblPr/>
      <w:tcPr>
        <w:tcBorders>
          <w:top w:val="double" w:sz="6"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tcPr>
    </w:tblStylePr>
    <w:tblStylePr w:type="firstCol">
      <w:rPr>
        <w:b/>
        <w:bCs/>
      </w:rPr>
    </w:tblStylePr>
    <w:tblStylePr w:type="lastCol">
      <w:rPr>
        <w:b/>
        <w:bCs/>
      </w:rPr>
    </w:tblStylePr>
    <w:tblStylePr w:type="band1Vert">
      <w:tblPr/>
      <w:tcPr>
        <w:shd w:val="clear" w:color="auto" w:fill="D0EFC5" w:themeFill="accent6" w:themeFillTint="3F"/>
      </w:tcPr>
    </w:tblStylePr>
    <w:tblStylePr w:type="band1Horz">
      <w:tblPr/>
      <w:tcPr>
        <w:tcBorders>
          <w:insideH w:val="nil"/>
          <w:insideV w:val="nil"/>
        </w:tcBorders>
        <w:shd w:val="clear" w:color="auto" w:fill="D0EFC5"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56082"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56082" w:themeFill="accent1"/>
      </w:tcPr>
    </w:tblStylePr>
    <w:tblStylePr w:type="lastCol">
      <w:rPr>
        <w:b/>
        <w:bCs/>
        <w:color w:val="FFFFFF" w:themeColor="background1"/>
      </w:rPr>
      <w:tblPr/>
      <w:tcPr>
        <w:tcBorders>
          <w:left w:val="nil"/>
          <w:right w:val="nil"/>
          <w:insideH w:val="nil"/>
          <w:insideV w:val="nil"/>
        </w:tcBorders>
        <w:shd w:val="clear" w:color="auto" w:fill="156082"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97132"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97132" w:themeFill="accent2"/>
      </w:tcPr>
    </w:tblStylePr>
    <w:tblStylePr w:type="lastCol">
      <w:rPr>
        <w:b/>
        <w:bCs/>
        <w:color w:val="FFFFFF" w:themeColor="background1"/>
      </w:rPr>
      <w:tblPr/>
      <w:tcPr>
        <w:tcBorders>
          <w:left w:val="nil"/>
          <w:right w:val="nil"/>
          <w:insideH w:val="nil"/>
          <w:insideV w:val="nil"/>
        </w:tcBorders>
        <w:shd w:val="clear" w:color="auto" w:fill="E97132"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96B24"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96B24" w:themeFill="accent3"/>
      </w:tcPr>
    </w:tblStylePr>
    <w:tblStylePr w:type="lastCol">
      <w:rPr>
        <w:b/>
        <w:bCs/>
        <w:color w:val="FFFFFF" w:themeColor="background1"/>
      </w:rPr>
      <w:tblPr/>
      <w:tcPr>
        <w:tcBorders>
          <w:left w:val="nil"/>
          <w:right w:val="nil"/>
          <w:insideH w:val="nil"/>
          <w:insideV w:val="nil"/>
        </w:tcBorders>
        <w:shd w:val="clear" w:color="auto" w:fill="196B24"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F9ED5"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F9ED5" w:themeFill="accent4"/>
      </w:tcPr>
    </w:tblStylePr>
    <w:tblStylePr w:type="lastCol">
      <w:rPr>
        <w:b/>
        <w:bCs/>
        <w:color w:val="FFFFFF" w:themeColor="background1"/>
      </w:rPr>
      <w:tblPr/>
      <w:tcPr>
        <w:tcBorders>
          <w:left w:val="nil"/>
          <w:right w:val="nil"/>
          <w:insideH w:val="nil"/>
          <w:insideV w:val="nil"/>
        </w:tcBorders>
        <w:shd w:val="clear" w:color="auto" w:fill="0F9ED5"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02B93"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02B93" w:themeFill="accent5"/>
      </w:tcPr>
    </w:tblStylePr>
    <w:tblStylePr w:type="lastCol">
      <w:rPr>
        <w:b/>
        <w:bCs/>
        <w:color w:val="FFFFFF" w:themeColor="background1"/>
      </w:rPr>
      <w:tblPr/>
      <w:tcPr>
        <w:tcBorders>
          <w:left w:val="nil"/>
          <w:right w:val="nil"/>
          <w:insideH w:val="nil"/>
          <w:insideV w:val="nil"/>
        </w:tcBorders>
        <w:shd w:val="clear" w:color="auto" w:fill="A02B93"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EA72E"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EA72E" w:themeFill="accent6"/>
      </w:tcPr>
    </w:tblStylePr>
    <w:tblStylePr w:type="lastCol">
      <w:rPr>
        <w:b/>
        <w:bCs/>
        <w:color w:val="FFFFFF" w:themeColor="background1"/>
      </w:rPr>
      <w:tblPr/>
      <w:tcPr>
        <w:tcBorders>
          <w:left w:val="nil"/>
          <w:right w:val="nil"/>
          <w:insideH w:val="nil"/>
          <w:insideV w:val="nil"/>
        </w:tcBorders>
        <w:shd w:val="clear" w:color="auto" w:fill="4EA72E"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0E2841"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156082" w:themeColor="accent1"/>
        <w:bottom w:val="single" w:sz="8" w:space="0" w:color="156082" w:themeColor="accent1"/>
      </w:tblBorders>
    </w:tblPr>
    <w:tblStylePr w:type="firstRow">
      <w:rPr>
        <w:rFonts w:asciiTheme="majorHAnsi" w:eastAsiaTheme="majorEastAsia" w:hAnsiTheme="majorHAnsi" w:cstheme="majorBidi"/>
      </w:rPr>
      <w:tblPr/>
      <w:tcPr>
        <w:tcBorders>
          <w:top w:val="nil"/>
          <w:bottom w:val="single" w:sz="8" w:space="0" w:color="156082" w:themeColor="accent1"/>
        </w:tcBorders>
      </w:tcPr>
    </w:tblStylePr>
    <w:tblStylePr w:type="lastRow">
      <w:rPr>
        <w:b/>
        <w:bCs/>
        <w:color w:val="0E2841" w:themeColor="text2"/>
      </w:rPr>
      <w:tblPr/>
      <w:tcPr>
        <w:tcBorders>
          <w:top w:val="single" w:sz="8" w:space="0" w:color="156082" w:themeColor="accent1"/>
          <w:bottom w:val="single" w:sz="8" w:space="0" w:color="156082" w:themeColor="accent1"/>
        </w:tcBorders>
      </w:tcPr>
    </w:tblStylePr>
    <w:tblStylePr w:type="firstCol">
      <w:rPr>
        <w:b/>
        <w:bCs/>
      </w:rPr>
    </w:tblStylePr>
    <w:tblStylePr w:type="lastCol">
      <w:rPr>
        <w:b/>
        <w:bCs/>
      </w:rPr>
      <w:tblPr/>
      <w:tcPr>
        <w:tcBorders>
          <w:top w:val="single" w:sz="8" w:space="0" w:color="156082" w:themeColor="accent1"/>
          <w:bottom w:val="single" w:sz="8" w:space="0" w:color="156082" w:themeColor="accent1"/>
        </w:tcBorders>
      </w:tcPr>
    </w:tblStylePr>
    <w:tblStylePr w:type="band1Vert">
      <w:tblPr/>
      <w:tcPr>
        <w:shd w:val="clear" w:color="auto" w:fill="B2DEF2" w:themeFill="accent1" w:themeFillTint="3F"/>
      </w:tcPr>
    </w:tblStylePr>
    <w:tblStylePr w:type="band1Horz">
      <w:tblPr/>
      <w:tcPr>
        <w:shd w:val="clear" w:color="auto" w:fill="B2DEF2"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E97132" w:themeColor="accent2"/>
        <w:bottom w:val="single" w:sz="8" w:space="0" w:color="E97132" w:themeColor="accent2"/>
      </w:tblBorders>
    </w:tblPr>
    <w:tblStylePr w:type="firstRow">
      <w:rPr>
        <w:rFonts w:asciiTheme="majorHAnsi" w:eastAsiaTheme="majorEastAsia" w:hAnsiTheme="majorHAnsi" w:cstheme="majorBidi"/>
      </w:rPr>
      <w:tblPr/>
      <w:tcPr>
        <w:tcBorders>
          <w:top w:val="nil"/>
          <w:bottom w:val="single" w:sz="8" w:space="0" w:color="E97132" w:themeColor="accent2"/>
        </w:tcBorders>
      </w:tcPr>
    </w:tblStylePr>
    <w:tblStylePr w:type="lastRow">
      <w:rPr>
        <w:b/>
        <w:bCs/>
        <w:color w:val="0E2841" w:themeColor="text2"/>
      </w:rPr>
      <w:tblPr/>
      <w:tcPr>
        <w:tcBorders>
          <w:top w:val="single" w:sz="8" w:space="0" w:color="E97132" w:themeColor="accent2"/>
          <w:bottom w:val="single" w:sz="8" w:space="0" w:color="E97132" w:themeColor="accent2"/>
        </w:tcBorders>
      </w:tcPr>
    </w:tblStylePr>
    <w:tblStylePr w:type="firstCol">
      <w:rPr>
        <w:b/>
        <w:bCs/>
      </w:rPr>
    </w:tblStylePr>
    <w:tblStylePr w:type="lastCol">
      <w:rPr>
        <w:b/>
        <w:bCs/>
      </w:rPr>
      <w:tblPr/>
      <w:tcPr>
        <w:tcBorders>
          <w:top w:val="single" w:sz="8" w:space="0" w:color="E97132" w:themeColor="accent2"/>
          <w:bottom w:val="single" w:sz="8" w:space="0" w:color="E97132" w:themeColor="accent2"/>
        </w:tcBorders>
      </w:tcPr>
    </w:tblStylePr>
    <w:tblStylePr w:type="band1Vert">
      <w:tblPr/>
      <w:tcPr>
        <w:shd w:val="clear" w:color="auto" w:fill="F9DBCC" w:themeFill="accent2" w:themeFillTint="3F"/>
      </w:tcPr>
    </w:tblStylePr>
    <w:tblStylePr w:type="band1Horz">
      <w:tblPr/>
      <w:tcPr>
        <w:shd w:val="clear" w:color="auto" w:fill="F9DBCC"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196B24" w:themeColor="accent3"/>
        <w:bottom w:val="single" w:sz="8" w:space="0" w:color="196B24" w:themeColor="accent3"/>
      </w:tblBorders>
    </w:tblPr>
    <w:tblStylePr w:type="firstRow">
      <w:rPr>
        <w:rFonts w:asciiTheme="majorHAnsi" w:eastAsiaTheme="majorEastAsia" w:hAnsiTheme="majorHAnsi" w:cstheme="majorBidi"/>
      </w:rPr>
      <w:tblPr/>
      <w:tcPr>
        <w:tcBorders>
          <w:top w:val="nil"/>
          <w:bottom w:val="single" w:sz="8" w:space="0" w:color="196B24" w:themeColor="accent3"/>
        </w:tcBorders>
      </w:tcPr>
    </w:tblStylePr>
    <w:tblStylePr w:type="lastRow">
      <w:rPr>
        <w:b/>
        <w:bCs/>
        <w:color w:val="0E2841" w:themeColor="text2"/>
      </w:rPr>
      <w:tblPr/>
      <w:tcPr>
        <w:tcBorders>
          <w:top w:val="single" w:sz="8" w:space="0" w:color="196B24" w:themeColor="accent3"/>
          <w:bottom w:val="single" w:sz="8" w:space="0" w:color="196B24" w:themeColor="accent3"/>
        </w:tcBorders>
      </w:tcPr>
    </w:tblStylePr>
    <w:tblStylePr w:type="firstCol">
      <w:rPr>
        <w:b/>
        <w:bCs/>
      </w:rPr>
    </w:tblStylePr>
    <w:tblStylePr w:type="lastCol">
      <w:rPr>
        <w:b/>
        <w:bCs/>
      </w:rPr>
      <w:tblPr/>
      <w:tcPr>
        <w:tcBorders>
          <w:top w:val="single" w:sz="8" w:space="0" w:color="196B24" w:themeColor="accent3"/>
          <w:bottom w:val="single" w:sz="8" w:space="0" w:color="196B24" w:themeColor="accent3"/>
        </w:tcBorders>
      </w:tcPr>
    </w:tblStylePr>
    <w:tblStylePr w:type="band1Vert">
      <w:tblPr/>
      <w:tcPr>
        <w:shd w:val="clear" w:color="auto" w:fill="B3EDBA" w:themeFill="accent3" w:themeFillTint="3F"/>
      </w:tcPr>
    </w:tblStylePr>
    <w:tblStylePr w:type="band1Horz">
      <w:tblPr/>
      <w:tcPr>
        <w:shd w:val="clear" w:color="auto" w:fill="B3EDBA"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0F9ED5" w:themeColor="accent4"/>
        <w:bottom w:val="single" w:sz="8" w:space="0" w:color="0F9ED5" w:themeColor="accent4"/>
      </w:tblBorders>
    </w:tblPr>
    <w:tblStylePr w:type="firstRow">
      <w:rPr>
        <w:rFonts w:asciiTheme="majorHAnsi" w:eastAsiaTheme="majorEastAsia" w:hAnsiTheme="majorHAnsi" w:cstheme="majorBidi"/>
      </w:rPr>
      <w:tblPr/>
      <w:tcPr>
        <w:tcBorders>
          <w:top w:val="nil"/>
          <w:bottom w:val="single" w:sz="8" w:space="0" w:color="0F9ED5" w:themeColor="accent4"/>
        </w:tcBorders>
      </w:tcPr>
    </w:tblStylePr>
    <w:tblStylePr w:type="lastRow">
      <w:rPr>
        <w:b/>
        <w:bCs/>
        <w:color w:val="0E2841" w:themeColor="text2"/>
      </w:rPr>
      <w:tblPr/>
      <w:tcPr>
        <w:tcBorders>
          <w:top w:val="single" w:sz="8" w:space="0" w:color="0F9ED5" w:themeColor="accent4"/>
          <w:bottom w:val="single" w:sz="8" w:space="0" w:color="0F9ED5" w:themeColor="accent4"/>
        </w:tcBorders>
      </w:tcPr>
    </w:tblStylePr>
    <w:tblStylePr w:type="firstCol">
      <w:rPr>
        <w:b/>
        <w:bCs/>
      </w:rPr>
    </w:tblStylePr>
    <w:tblStylePr w:type="lastCol">
      <w:rPr>
        <w:b/>
        <w:bCs/>
      </w:rPr>
      <w:tblPr/>
      <w:tcPr>
        <w:tcBorders>
          <w:top w:val="single" w:sz="8" w:space="0" w:color="0F9ED5" w:themeColor="accent4"/>
          <w:bottom w:val="single" w:sz="8" w:space="0" w:color="0F9ED5" w:themeColor="accent4"/>
        </w:tcBorders>
      </w:tcPr>
    </w:tblStylePr>
    <w:tblStylePr w:type="band1Vert">
      <w:tblPr/>
      <w:tcPr>
        <w:shd w:val="clear" w:color="auto" w:fill="BDE9FA" w:themeFill="accent4" w:themeFillTint="3F"/>
      </w:tcPr>
    </w:tblStylePr>
    <w:tblStylePr w:type="band1Horz">
      <w:tblPr/>
      <w:tcPr>
        <w:shd w:val="clear" w:color="auto" w:fill="BDE9FA"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A02B93" w:themeColor="accent5"/>
        <w:bottom w:val="single" w:sz="8" w:space="0" w:color="A02B93" w:themeColor="accent5"/>
      </w:tblBorders>
    </w:tblPr>
    <w:tblStylePr w:type="firstRow">
      <w:rPr>
        <w:rFonts w:asciiTheme="majorHAnsi" w:eastAsiaTheme="majorEastAsia" w:hAnsiTheme="majorHAnsi" w:cstheme="majorBidi"/>
      </w:rPr>
      <w:tblPr/>
      <w:tcPr>
        <w:tcBorders>
          <w:top w:val="nil"/>
          <w:bottom w:val="single" w:sz="8" w:space="0" w:color="A02B93" w:themeColor="accent5"/>
        </w:tcBorders>
      </w:tcPr>
    </w:tblStylePr>
    <w:tblStylePr w:type="lastRow">
      <w:rPr>
        <w:b/>
        <w:bCs/>
        <w:color w:val="0E2841" w:themeColor="text2"/>
      </w:rPr>
      <w:tblPr/>
      <w:tcPr>
        <w:tcBorders>
          <w:top w:val="single" w:sz="8" w:space="0" w:color="A02B93" w:themeColor="accent5"/>
          <w:bottom w:val="single" w:sz="8" w:space="0" w:color="A02B93" w:themeColor="accent5"/>
        </w:tcBorders>
      </w:tcPr>
    </w:tblStylePr>
    <w:tblStylePr w:type="firstCol">
      <w:rPr>
        <w:b/>
        <w:bCs/>
      </w:rPr>
    </w:tblStylePr>
    <w:tblStylePr w:type="lastCol">
      <w:rPr>
        <w:b/>
        <w:bCs/>
      </w:rPr>
      <w:tblPr/>
      <w:tcPr>
        <w:tcBorders>
          <w:top w:val="single" w:sz="8" w:space="0" w:color="A02B93" w:themeColor="accent5"/>
          <w:bottom w:val="single" w:sz="8" w:space="0" w:color="A02B93" w:themeColor="accent5"/>
        </w:tcBorders>
      </w:tcPr>
    </w:tblStylePr>
    <w:tblStylePr w:type="band1Vert">
      <w:tblPr/>
      <w:tcPr>
        <w:shd w:val="clear" w:color="auto" w:fill="EFC3E9" w:themeFill="accent5" w:themeFillTint="3F"/>
      </w:tcPr>
    </w:tblStylePr>
    <w:tblStylePr w:type="band1Horz">
      <w:tblPr/>
      <w:tcPr>
        <w:shd w:val="clear" w:color="auto" w:fill="EFC3E9"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4EA72E" w:themeColor="accent6"/>
        <w:bottom w:val="single" w:sz="8" w:space="0" w:color="4EA72E" w:themeColor="accent6"/>
      </w:tblBorders>
    </w:tblPr>
    <w:tblStylePr w:type="firstRow">
      <w:rPr>
        <w:rFonts w:asciiTheme="majorHAnsi" w:eastAsiaTheme="majorEastAsia" w:hAnsiTheme="majorHAnsi" w:cstheme="majorBidi"/>
      </w:rPr>
      <w:tblPr/>
      <w:tcPr>
        <w:tcBorders>
          <w:top w:val="nil"/>
          <w:bottom w:val="single" w:sz="8" w:space="0" w:color="4EA72E" w:themeColor="accent6"/>
        </w:tcBorders>
      </w:tcPr>
    </w:tblStylePr>
    <w:tblStylePr w:type="lastRow">
      <w:rPr>
        <w:b/>
        <w:bCs/>
        <w:color w:val="0E2841" w:themeColor="text2"/>
      </w:rPr>
      <w:tblPr/>
      <w:tcPr>
        <w:tcBorders>
          <w:top w:val="single" w:sz="8" w:space="0" w:color="4EA72E" w:themeColor="accent6"/>
          <w:bottom w:val="single" w:sz="8" w:space="0" w:color="4EA72E" w:themeColor="accent6"/>
        </w:tcBorders>
      </w:tcPr>
    </w:tblStylePr>
    <w:tblStylePr w:type="firstCol">
      <w:rPr>
        <w:b/>
        <w:bCs/>
      </w:rPr>
    </w:tblStylePr>
    <w:tblStylePr w:type="lastCol">
      <w:rPr>
        <w:b/>
        <w:bCs/>
      </w:rPr>
      <w:tblPr/>
      <w:tcPr>
        <w:tcBorders>
          <w:top w:val="single" w:sz="8" w:space="0" w:color="4EA72E" w:themeColor="accent6"/>
          <w:bottom w:val="single" w:sz="8" w:space="0" w:color="4EA72E" w:themeColor="accent6"/>
        </w:tcBorders>
      </w:tcPr>
    </w:tblStylePr>
    <w:tblStylePr w:type="band1Vert">
      <w:tblPr/>
      <w:tcPr>
        <w:shd w:val="clear" w:color="auto" w:fill="D0EFC5" w:themeFill="accent6" w:themeFillTint="3F"/>
      </w:tcPr>
    </w:tblStylePr>
    <w:tblStylePr w:type="band1Horz">
      <w:tblPr/>
      <w:tcPr>
        <w:shd w:val="clear" w:color="auto" w:fill="D0EFC5"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rPr>
        <w:sz w:val="24"/>
        <w:szCs w:val="24"/>
      </w:rPr>
      <w:tblPr/>
      <w:tcPr>
        <w:tcBorders>
          <w:top w:val="nil"/>
          <w:left w:val="nil"/>
          <w:bottom w:val="single" w:sz="24" w:space="0" w:color="156082" w:themeColor="accent1"/>
          <w:right w:val="nil"/>
          <w:insideH w:val="nil"/>
          <w:insideV w:val="nil"/>
        </w:tcBorders>
        <w:shd w:val="clear" w:color="auto" w:fill="FFFFFF" w:themeFill="background1"/>
      </w:tcPr>
    </w:tblStylePr>
    <w:tblStylePr w:type="lastRow">
      <w:tblPr/>
      <w:tcPr>
        <w:tcBorders>
          <w:top w:val="single" w:sz="8" w:space="0" w:color="156082"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56082" w:themeColor="accent1"/>
          <w:insideH w:val="nil"/>
          <w:insideV w:val="nil"/>
        </w:tcBorders>
        <w:shd w:val="clear" w:color="auto" w:fill="FFFFFF" w:themeFill="background1"/>
      </w:tcPr>
    </w:tblStylePr>
    <w:tblStylePr w:type="lastCol">
      <w:tblPr/>
      <w:tcPr>
        <w:tcBorders>
          <w:top w:val="nil"/>
          <w:left w:val="single" w:sz="8" w:space="0" w:color="156082"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top w:val="nil"/>
          <w:bottom w:val="nil"/>
          <w:insideH w:val="nil"/>
          <w:insideV w:val="nil"/>
        </w:tcBorders>
        <w:shd w:val="clear" w:color="auto" w:fill="B2DEF2"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rPr>
        <w:sz w:val="24"/>
        <w:szCs w:val="24"/>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tblPr/>
      <w:tcPr>
        <w:tcBorders>
          <w:top w:val="single" w:sz="8" w:space="0" w:color="E97132"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97132" w:themeColor="accent2"/>
          <w:insideH w:val="nil"/>
          <w:insideV w:val="nil"/>
        </w:tcBorders>
        <w:shd w:val="clear" w:color="auto" w:fill="FFFFFF" w:themeFill="background1"/>
      </w:tcPr>
    </w:tblStylePr>
    <w:tblStylePr w:type="lastCol">
      <w:tblPr/>
      <w:tcPr>
        <w:tcBorders>
          <w:top w:val="nil"/>
          <w:left w:val="single" w:sz="8" w:space="0" w:color="E97132"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top w:val="nil"/>
          <w:bottom w:val="nil"/>
          <w:insideH w:val="nil"/>
          <w:insideV w:val="nil"/>
        </w:tcBorders>
        <w:shd w:val="clear" w:color="auto" w:fill="F9DBCC"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rPr>
        <w:sz w:val="24"/>
        <w:szCs w:val="24"/>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tblPr/>
      <w:tcPr>
        <w:tcBorders>
          <w:top w:val="single" w:sz="8" w:space="0" w:color="196B24"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96B24" w:themeColor="accent3"/>
          <w:insideH w:val="nil"/>
          <w:insideV w:val="nil"/>
        </w:tcBorders>
        <w:shd w:val="clear" w:color="auto" w:fill="FFFFFF" w:themeFill="background1"/>
      </w:tcPr>
    </w:tblStylePr>
    <w:tblStylePr w:type="lastCol">
      <w:tblPr/>
      <w:tcPr>
        <w:tcBorders>
          <w:top w:val="nil"/>
          <w:left w:val="single" w:sz="8" w:space="0" w:color="196B24"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top w:val="nil"/>
          <w:bottom w:val="nil"/>
          <w:insideH w:val="nil"/>
          <w:insideV w:val="nil"/>
        </w:tcBorders>
        <w:shd w:val="clear" w:color="auto" w:fill="B3EDBA"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rPr>
        <w:sz w:val="24"/>
        <w:szCs w:val="24"/>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tblPr/>
      <w:tcPr>
        <w:tcBorders>
          <w:top w:val="single" w:sz="8" w:space="0" w:color="0F9ED5"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F9ED5" w:themeColor="accent4"/>
          <w:insideH w:val="nil"/>
          <w:insideV w:val="nil"/>
        </w:tcBorders>
        <w:shd w:val="clear" w:color="auto" w:fill="FFFFFF" w:themeFill="background1"/>
      </w:tcPr>
    </w:tblStylePr>
    <w:tblStylePr w:type="lastCol">
      <w:tblPr/>
      <w:tcPr>
        <w:tcBorders>
          <w:top w:val="nil"/>
          <w:left w:val="single" w:sz="8" w:space="0" w:color="0F9ED5"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top w:val="nil"/>
          <w:bottom w:val="nil"/>
          <w:insideH w:val="nil"/>
          <w:insideV w:val="nil"/>
        </w:tcBorders>
        <w:shd w:val="clear" w:color="auto" w:fill="BDE9FA"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rPr>
        <w:sz w:val="24"/>
        <w:szCs w:val="24"/>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tblPr/>
      <w:tcPr>
        <w:tcBorders>
          <w:top w:val="single" w:sz="8" w:space="0" w:color="A02B93"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02B93" w:themeColor="accent5"/>
          <w:insideH w:val="nil"/>
          <w:insideV w:val="nil"/>
        </w:tcBorders>
        <w:shd w:val="clear" w:color="auto" w:fill="FFFFFF" w:themeFill="background1"/>
      </w:tcPr>
    </w:tblStylePr>
    <w:tblStylePr w:type="lastCol">
      <w:tblPr/>
      <w:tcPr>
        <w:tcBorders>
          <w:top w:val="nil"/>
          <w:left w:val="single" w:sz="8" w:space="0" w:color="A02B93"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top w:val="nil"/>
          <w:bottom w:val="nil"/>
          <w:insideH w:val="nil"/>
          <w:insideV w:val="nil"/>
        </w:tcBorders>
        <w:shd w:val="clear" w:color="auto" w:fill="EFC3E9"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rPr>
        <w:sz w:val="24"/>
        <w:szCs w:val="24"/>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tblPr/>
      <w:tcPr>
        <w:tcBorders>
          <w:top w:val="single" w:sz="8" w:space="0" w:color="4EA72E"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EA72E" w:themeColor="accent6"/>
          <w:insideH w:val="nil"/>
          <w:insideV w:val="nil"/>
        </w:tcBorders>
        <w:shd w:val="clear" w:color="auto" w:fill="FFFFFF" w:themeFill="background1"/>
      </w:tcPr>
    </w:tblStylePr>
    <w:tblStylePr w:type="lastCol">
      <w:tblPr/>
      <w:tcPr>
        <w:tcBorders>
          <w:top w:val="nil"/>
          <w:left w:val="single" w:sz="8" w:space="0" w:color="4EA72E"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top w:val="nil"/>
          <w:bottom w:val="nil"/>
          <w:insideH w:val="nil"/>
          <w:insideV w:val="nil"/>
        </w:tcBorders>
        <w:shd w:val="clear" w:color="auto" w:fill="D0EFC5"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insideV w:val="single" w:sz="8" w:space="0" w:color="2198CF" w:themeColor="accent1" w:themeTint="BF"/>
      </w:tblBorders>
    </w:tblPr>
    <w:tcPr>
      <w:shd w:val="clear" w:color="auto" w:fill="B2DEF2" w:themeFill="accent1" w:themeFillTint="3F"/>
    </w:tcPr>
    <w:tblStylePr w:type="firstRow">
      <w:rPr>
        <w:b/>
        <w:bCs/>
      </w:rPr>
    </w:tblStylePr>
    <w:tblStylePr w:type="lastRow">
      <w:rPr>
        <w:b/>
        <w:bCs/>
      </w:rPr>
      <w:tblPr/>
      <w:tcPr>
        <w:tcBorders>
          <w:top w:val="single" w:sz="18" w:space="0" w:color="2198CF" w:themeColor="accent1" w:themeTint="BF"/>
        </w:tcBorders>
      </w:tcPr>
    </w:tblStylePr>
    <w:tblStylePr w:type="firstCol">
      <w:rPr>
        <w:b/>
        <w:bCs/>
      </w:rPr>
    </w:tblStylePr>
    <w:tblStylePr w:type="lastCol">
      <w:rPr>
        <w:b/>
        <w:bCs/>
      </w:r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insideV w:val="single" w:sz="8" w:space="0" w:color="EE9465" w:themeColor="accent2" w:themeTint="BF"/>
      </w:tblBorders>
    </w:tblPr>
    <w:tcPr>
      <w:shd w:val="clear" w:color="auto" w:fill="F9DBCC" w:themeFill="accent2" w:themeFillTint="3F"/>
    </w:tcPr>
    <w:tblStylePr w:type="firstRow">
      <w:rPr>
        <w:b/>
        <w:bCs/>
      </w:rPr>
    </w:tblStylePr>
    <w:tblStylePr w:type="lastRow">
      <w:rPr>
        <w:b/>
        <w:bCs/>
      </w:rPr>
      <w:tblPr/>
      <w:tcPr>
        <w:tcBorders>
          <w:top w:val="single" w:sz="18" w:space="0" w:color="EE9465" w:themeColor="accent2" w:themeTint="BF"/>
        </w:tcBorders>
      </w:tcPr>
    </w:tblStylePr>
    <w:tblStylePr w:type="firstCol">
      <w:rPr>
        <w:b/>
        <w:bCs/>
      </w:rPr>
    </w:tblStylePr>
    <w:tblStylePr w:type="lastCol">
      <w:rPr>
        <w:b/>
        <w:bCs/>
      </w:r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insideV w:val="single" w:sz="8" w:space="0" w:color="2BB73D" w:themeColor="accent3" w:themeTint="BF"/>
      </w:tblBorders>
    </w:tblPr>
    <w:tcPr>
      <w:shd w:val="clear" w:color="auto" w:fill="B3EDBA" w:themeFill="accent3" w:themeFillTint="3F"/>
    </w:tcPr>
    <w:tblStylePr w:type="firstRow">
      <w:rPr>
        <w:b/>
        <w:bCs/>
      </w:rPr>
    </w:tblStylePr>
    <w:tblStylePr w:type="lastRow">
      <w:rPr>
        <w:b/>
        <w:bCs/>
      </w:rPr>
      <w:tblPr/>
      <w:tcPr>
        <w:tcBorders>
          <w:top w:val="single" w:sz="18" w:space="0" w:color="2BB73D" w:themeColor="accent3" w:themeTint="BF"/>
        </w:tcBorders>
      </w:tcPr>
    </w:tblStylePr>
    <w:tblStylePr w:type="firstCol">
      <w:rPr>
        <w:b/>
        <w:bCs/>
      </w:rPr>
    </w:tblStylePr>
    <w:tblStylePr w:type="lastCol">
      <w:rPr>
        <w:b/>
        <w:bCs/>
      </w:r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insideV w:val="single" w:sz="8" w:space="0" w:color="39BEF1" w:themeColor="accent4" w:themeTint="BF"/>
      </w:tblBorders>
    </w:tblPr>
    <w:tcPr>
      <w:shd w:val="clear" w:color="auto" w:fill="BDE9FA" w:themeFill="accent4" w:themeFillTint="3F"/>
    </w:tcPr>
    <w:tblStylePr w:type="firstRow">
      <w:rPr>
        <w:b/>
        <w:bCs/>
      </w:rPr>
    </w:tblStylePr>
    <w:tblStylePr w:type="lastRow">
      <w:rPr>
        <w:b/>
        <w:bCs/>
      </w:rPr>
      <w:tblPr/>
      <w:tcPr>
        <w:tcBorders>
          <w:top w:val="single" w:sz="18" w:space="0" w:color="39BEF1" w:themeColor="accent4" w:themeTint="BF"/>
        </w:tcBorders>
      </w:tcPr>
    </w:tblStylePr>
    <w:tblStylePr w:type="firstCol">
      <w:rPr>
        <w:b/>
        <w:bCs/>
      </w:rPr>
    </w:tblStylePr>
    <w:tblStylePr w:type="lastCol">
      <w:rPr>
        <w:b/>
        <w:bCs/>
      </w:r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insideV w:val="single" w:sz="8" w:space="0" w:color="CE49BF" w:themeColor="accent5" w:themeTint="BF"/>
      </w:tblBorders>
    </w:tblPr>
    <w:tcPr>
      <w:shd w:val="clear" w:color="auto" w:fill="EFC3E9" w:themeFill="accent5" w:themeFillTint="3F"/>
    </w:tcPr>
    <w:tblStylePr w:type="firstRow">
      <w:rPr>
        <w:b/>
        <w:bCs/>
      </w:rPr>
    </w:tblStylePr>
    <w:tblStylePr w:type="lastRow">
      <w:rPr>
        <w:b/>
        <w:bCs/>
      </w:rPr>
      <w:tblPr/>
      <w:tcPr>
        <w:tcBorders>
          <w:top w:val="single" w:sz="18" w:space="0" w:color="CE49BF" w:themeColor="accent5" w:themeTint="BF"/>
        </w:tcBorders>
      </w:tcPr>
    </w:tblStylePr>
    <w:tblStylePr w:type="firstCol">
      <w:rPr>
        <w:b/>
        <w:bCs/>
      </w:rPr>
    </w:tblStylePr>
    <w:tblStylePr w:type="lastCol">
      <w:rPr>
        <w:b/>
        <w:bCs/>
      </w:r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insideV w:val="single" w:sz="8" w:space="0" w:color="71CF50" w:themeColor="accent6" w:themeTint="BF"/>
      </w:tblBorders>
    </w:tblPr>
    <w:tcPr>
      <w:shd w:val="clear" w:color="auto" w:fill="D0EFC5" w:themeFill="accent6" w:themeFillTint="3F"/>
    </w:tcPr>
    <w:tblStylePr w:type="firstRow">
      <w:rPr>
        <w:b/>
        <w:bCs/>
      </w:rPr>
    </w:tblStylePr>
    <w:tblStylePr w:type="lastRow">
      <w:rPr>
        <w:b/>
        <w:bCs/>
      </w:rPr>
      <w:tblPr/>
      <w:tcPr>
        <w:tcBorders>
          <w:top w:val="single" w:sz="18" w:space="0" w:color="71CF50" w:themeColor="accent6" w:themeTint="BF"/>
        </w:tcBorders>
      </w:tcPr>
    </w:tblStylePr>
    <w:tblStylePr w:type="firstCol">
      <w:rPr>
        <w:b/>
        <w:bCs/>
      </w:rPr>
    </w:tblStylePr>
    <w:tblStylePr w:type="lastCol">
      <w:rPr>
        <w:b/>
        <w:bCs/>
      </w:r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cPr>
      <w:shd w:val="clear" w:color="auto" w:fill="B2DEF2" w:themeFill="accent1" w:themeFillTint="3F"/>
    </w:tcPr>
    <w:tblStylePr w:type="firstRow">
      <w:rPr>
        <w:b/>
        <w:bCs/>
        <w:color w:val="000000" w:themeColor="text1"/>
      </w:rPr>
      <w:tblPr/>
      <w:tcPr>
        <w:shd w:val="clear" w:color="auto" w:fill="E0F2FA"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E4F5" w:themeFill="accent1" w:themeFillTint="33"/>
      </w:tcPr>
    </w:tblStylePr>
    <w:tblStylePr w:type="band1Vert">
      <w:tblPr/>
      <w:tcPr>
        <w:shd w:val="clear" w:color="auto" w:fill="64BDE6" w:themeFill="accent1" w:themeFillTint="7F"/>
      </w:tcPr>
    </w:tblStylePr>
    <w:tblStylePr w:type="band1Horz">
      <w:tblPr/>
      <w:tcPr>
        <w:tcBorders>
          <w:insideH w:val="single" w:sz="6" w:space="0" w:color="156082" w:themeColor="accent1"/>
          <w:insideV w:val="single" w:sz="6" w:space="0" w:color="156082" w:themeColor="accent1"/>
        </w:tcBorders>
        <w:shd w:val="clear" w:color="auto" w:fill="64BDE6"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cPr>
      <w:shd w:val="clear" w:color="auto" w:fill="F9DBCC" w:themeFill="accent2" w:themeFillTint="3F"/>
    </w:tcPr>
    <w:tblStylePr w:type="firstRow">
      <w:rPr>
        <w:b/>
        <w:bCs/>
        <w:color w:val="000000" w:themeColor="text1"/>
      </w:rPr>
      <w:tblPr/>
      <w:tcPr>
        <w:shd w:val="clear" w:color="auto" w:fill="FCF0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AE2D5" w:themeFill="accent2" w:themeFillTint="33"/>
      </w:tcPr>
    </w:tblStylePr>
    <w:tblStylePr w:type="band1Vert">
      <w:tblPr/>
      <w:tcPr>
        <w:shd w:val="clear" w:color="auto" w:fill="F4B798" w:themeFill="accent2" w:themeFillTint="7F"/>
      </w:tcPr>
    </w:tblStylePr>
    <w:tblStylePr w:type="band1Horz">
      <w:tblPr/>
      <w:tcPr>
        <w:tcBorders>
          <w:insideH w:val="single" w:sz="6" w:space="0" w:color="E97132" w:themeColor="accent2"/>
          <w:insideV w:val="single" w:sz="6" w:space="0" w:color="E97132" w:themeColor="accent2"/>
        </w:tcBorders>
        <w:shd w:val="clear" w:color="auto" w:fill="F4B7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cPr>
      <w:shd w:val="clear" w:color="auto" w:fill="B3EDBA" w:themeFill="accent3" w:themeFillTint="3F"/>
    </w:tcPr>
    <w:tblStylePr w:type="firstRow">
      <w:rPr>
        <w:b/>
        <w:bCs/>
        <w:color w:val="000000" w:themeColor="text1"/>
      </w:rPr>
      <w:tblPr/>
      <w:tcPr>
        <w:shd w:val="clear" w:color="auto" w:fill="E0F8E3"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F0C7" w:themeFill="accent3" w:themeFillTint="33"/>
      </w:tcPr>
    </w:tblStylePr>
    <w:tblStylePr w:type="band1Vert">
      <w:tblPr/>
      <w:tcPr>
        <w:shd w:val="clear" w:color="auto" w:fill="66DB75" w:themeFill="accent3" w:themeFillTint="7F"/>
      </w:tcPr>
    </w:tblStylePr>
    <w:tblStylePr w:type="band1Horz">
      <w:tblPr/>
      <w:tcPr>
        <w:tcBorders>
          <w:insideH w:val="single" w:sz="6" w:space="0" w:color="196B24" w:themeColor="accent3"/>
          <w:insideV w:val="single" w:sz="6" w:space="0" w:color="196B24" w:themeColor="accent3"/>
        </w:tcBorders>
        <w:shd w:val="clear" w:color="auto" w:fill="66DB75"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cPr>
      <w:shd w:val="clear" w:color="auto" w:fill="BDE9FA" w:themeFill="accent4" w:themeFillTint="3F"/>
    </w:tcPr>
    <w:tblStylePr w:type="firstRow">
      <w:rPr>
        <w:b/>
        <w:bCs/>
        <w:color w:val="000000" w:themeColor="text1"/>
      </w:rPr>
      <w:tblPr/>
      <w:tcPr>
        <w:shd w:val="clear" w:color="auto" w:fill="E5F6FD"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AEDFB" w:themeFill="accent4" w:themeFillTint="33"/>
      </w:tcPr>
    </w:tblStylePr>
    <w:tblStylePr w:type="band1Vert">
      <w:tblPr/>
      <w:tcPr>
        <w:shd w:val="clear" w:color="auto" w:fill="7BD3F5" w:themeFill="accent4" w:themeFillTint="7F"/>
      </w:tcPr>
    </w:tblStylePr>
    <w:tblStylePr w:type="band1Horz">
      <w:tblPr/>
      <w:tcPr>
        <w:tcBorders>
          <w:insideH w:val="single" w:sz="6" w:space="0" w:color="0F9ED5" w:themeColor="accent4"/>
          <w:insideV w:val="single" w:sz="6" w:space="0" w:color="0F9ED5" w:themeColor="accent4"/>
        </w:tcBorders>
        <w:shd w:val="clear" w:color="auto" w:fill="7BD3F5"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cPr>
      <w:shd w:val="clear" w:color="auto" w:fill="EFC3E9" w:themeFill="accent5" w:themeFillTint="3F"/>
    </w:tcPr>
    <w:tblStylePr w:type="firstRow">
      <w:rPr>
        <w:b/>
        <w:bCs/>
        <w:color w:val="000000" w:themeColor="text1"/>
      </w:rPr>
      <w:tblPr/>
      <w:tcPr>
        <w:shd w:val="clear" w:color="auto" w:fill="F8E7F6"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CEED" w:themeFill="accent5" w:themeFillTint="33"/>
      </w:tcPr>
    </w:tblStylePr>
    <w:tblStylePr w:type="band1Vert">
      <w:tblPr/>
      <w:tcPr>
        <w:shd w:val="clear" w:color="auto" w:fill="DE86D4" w:themeFill="accent5" w:themeFillTint="7F"/>
      </w:tcPr>
    </w:tblStylePr>
    <w:tblStylePr w:type="band1Horz">
      <w:tblPr/>
      <w:tcPr>
        <w:tcBorders>
          <w:insideH w:val="single" w:sz="6" w:space="0" w:color="A02B93" w:themeColor="accent5"/>
          <w:insideV w:val="single" w:sz="6" w:space="0" w:color="A02B93" w:themeColor="accent5"/>
        </w:tcBorders>
        <w:shd w:val="clear" w:color="auto" w:fill="DE86D4"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cPr>
      <w:shd w:val="clear" w:color="auto" w:fill="D0EFC5" w:themeFill="accent6" w:themeFillTint="3F"/>
    </w:tcPr>
    <w:tblStylePr w:type="firstRow">
      <w:rPr>
        <w:b/>
        <w:bCs/>
        <w:color w:val="000000" w:themeColor="text1"/>
      </w:rPr>
      <w:tblPr/>
      <w:tcPr>
        <w:shd w:val="clear" w:color="auto" w:fill="ECF8E8"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F2D0" w:themeFill="accent6" w:themeFillTint="33"/>
      </w:tcPr>
    </w:tblStylePr>
    <w:tblStylePr w:type="band1Vert">
      <w:tblPr/>
      <w:tcPr>
        <w:shd w:val="clear" w:color="auto" w:fill="A0DF8A" w:themeFill="accent6" w:themeFillTint="7F"/>
      </w:tcPr>
    </w:tblStylePr>
    <w:tblStylePr w:type="band1Horz">
      <w:tblPr/>
      <w:tcPr>
        <w:tcBorders>
          <w:insideH w:val="single" w:sz="6" w:space="0" w:color="4EA72E" w:themeColor="accent6"/>
          <w:insideV w:val="single" w:sz="6" w:space="0" w:color="4EA72E" w:themeColor="accent6"/>
        </w:tcBorders>
        <w:shd w:val="clear" w:color="auto" w:fill="A0DF8A"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2DEF2"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56082"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56082"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4BDE6"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4BDE6"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9DBCC"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97132"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97132"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4B7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4B798"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3EDBA"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96B24"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96B24"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6DB75"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6DB75"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DE9FA"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F9ED5"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F9ED5"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BD3F5"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BD3F5"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C3E9"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02B93"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02B93"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E86D4"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E86D4"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EFC5"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EA72E"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EA72E"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0DF8A"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0DF8A"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156082"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A2F4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F476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F4761" w:themeFill="accent1" w:themeFillShade="BF"/>
      </w:tcPr>
    </w:tblStylePr>
    <w:tblStylePr w:type="band1Vert">
      <w:tblPr/>
      <w:tcPr>
        <w:tcBorders>
          <w:top w:val="nil"/>
          <w:left w:val="nil"/>
          <w:bottom w:val="nil"/>
          <w:right w:val="nil"/>
          <w:insideH w:val="nil"/>
          <w:insideV w:val="nil"/>
        </w:tcBorders>
        <w:shd w:val="clear" w:color="auto" w:fill="0F4761" w:themeFill="accent1" w:themeFillShade="BF"/>
      </w:tcPr>
    </w:tblStylePr>
    <w:tblStylePr w:type="band1Horz">
      <w:tblPr/>
      <w:tcPr>
        <w:tcBorders>
          <w:top w:val="nil"/>
          <w:left w:val="nil"/>
          <w:bottom w:val="nil"/>
          <w:right w:val="nil"/>
          <w:insideH w:val="nil"/>
          <w:insideV w:val="nil"/>
        </w:tcBorders>
        <w:shd w:val="clear" w:color="auto" w:fill="0F476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E97132"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340D"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BF4E1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BF4E14" w:themeFill="accent2" w:themeFillShade="BF"/>
      </w:tcPr>
    </w:tblStylePr>
    <w:tblStylePr w:type="band1Vert">
      <w:tblPr/>
      <w:tcPr>
        <w:tcBorders>
          <w:top w:val="nil"/>
          <w:left w:val="nil"/>
          <w:bottom w:val="nil"/>
          <w:right w:val="nil"/>
          <w:insideH w:val="nil"/>
          <w:insideV w:val="nil"/>
        </w:tcBorders>
        <w:shd w:val="clear" w:color="auto" w:fill="BF4E14" w:themeFill="accent2" w:themeFillShade="BF"/>
      </w:tcPr>
    </w:tblStylePr>
    <w:tblStylePr w:type="band1Horz">
      <w:tblPr/>
      <w:tcPr>
        <w:tcBorders>
          <w:top w:val="nil"/>
          <w:left w:val="nil"/>
          <w:bottom w:val="nil"/>
          <w:right w:val="nil"/>
          <w:insideH w:val="nil"/>
          <w:insideV w:val="nil"/>
        </w:tcBorders>
        <w:shd w:val="clear" w:color="auto" w:fill="BF4E1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196B24"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C3511"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124F1A"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124F1A" w:themeFill="accent3" w:themeFillShade="BF"/>
      </w:tcPr>
    </w:tblStylePr>
    <w:tblStylePr w:type="band1Vert">
      <w:tblPr/>
      <w:tcPr>
        <w:tcBorders>
          <w:top w:val="nil"/>
          <w:left w:val="nil"/>
          <w:bottom w:val="nil"/>
          <w:right w:val="nil"/>
          <w:insideH w:val="nil"/>
          <w:insideV w:val="nil"/>
        </w:tcBorders>
        <w:shd w:val="clear" w:color="auto" w:fill="124F1A" w:themeFill="accent3" w:themeFillShade="BF"/>
      </w:tcPr>
    </w:tblStylePr>
    <w:tblStylePr w:type="band1Horz">
      <w:tblPr/>
      <w:tcPr>
        <w:tcBorders>
          <w:top w:val="nil"/>
          <w:left w:val="nil"/>
          <w:bottom w:val="nil"/>
          <w:right w:val="nil"/>
          <w:insideH w:val="nil"/>
          <w:insideV w:val="nil"/>
        </w:tcBorders>
        <w:shd w:val="clear" w:color="auto" w:fill="124F1A"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0F9ED5"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74E6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0B769F"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0B769F" w:themeFill="accent4" w:themeFillShade="BF"/>
      </w:tcPr>
    </w:tblStylePr>
    <w:tblStylePr w:type="band1Vert">
      <w:tblPr/>
      <w:tcPr>
        <w:tcBorders>
          <w:top w:val="nil"/>
          <w:left w:val="nil"/>
          <w:bottom w:val="nil"/>
          <w:right w:val="nil"/>
          <w:insideH w:val="nil"/>
          <w:insideV w:val="nil"/>
        </w:tcBorders>
        <w:shd w:val="clear" w:color="auto" w:fill="0B769F" w:themeFill="accent4" w:themeFillShade="BF"/>
      </w:tcPr>
    </w:tblStylePr>
    <w:tblStylePr w:type="band1Horz">
      <w:tblPr/>
      <w:tcPr>
        <w:tcBorders>
          <w:top w:val="nil"/>
          <w:left w:val="nil"/>
          <w:bottom w:val="nil"/>
          <w:right w:val="nil"/>
          <w:insideH w:val="nil"/>
          <w:insideV w:val="nil"/>
        </w:tcBorders>
        <w:shd w:val="clear" w:color="auto" w:fill="0B769F"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A02B93"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F154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77206D"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77206D" w:themeFill="accent5" w:themeFillShade="BF"/>
      </w:tcPr>
    </w:tblStylePr>
    <w:tblStylePr w:type="band1Vert">
      <w:tblPr/>
      <w:tcPr>
        <w:tcBorders>
          <w:top w:val="nil"/>
          <w:left w:val="nil"/>
          <w:bottom w:val="nil"/>
          <w:right w:val="nil"/>
          <w:insideH w:val="nil"/>
          <w:insideV w:val="nil"/>
        </w:tcBorders>
        <w:shd w:val="clear" w:color="auto" w:fill="77206D" w:themeFill="accent5" w:themeFillShade="BF"/>
      </w:tcPr>
    </w:tblStylePr>
    <w:tblStylePr w:type="band1Horz">
      <w:tblPr/>
      <w:tcPr>
        <w:tcBorders>
          <w:top w:val="nil"/>
          <w:left w:val="nil"/>
          <w:bottom w:val="nil"/>
          <w:right w:val="nil"/>
          <w:insideH w:val="nil"/>
          <w:insideV w:val="nil"/>
        </w:tcBorders>
        <w:shd w:val="clear" w:color="auto" w:fill="77206D"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4EA72E"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65317"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3A7C22"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3A7C22" w:themeFill="accent6" w:themeFillShade="BF"/>
      </w:tcPr>
    </w:tblStylePr>
    <w:tblStylePr w:type="band1Vert">
      <w:tblPr/>
      <w:tcPr>
        <w:tcBorders>
          <w:top w:val="nil"/>
          <w:left w:val="nil"/>
          <w:bottom w:val="nil"/>
          <w:right w:val="nil"/>
          <w:insideH w:val="nil"/>
          <w:insideV w:val="nil"/>
        </w:tcBorders>
        <w:shd w:val="clear" w:color="auto" w:fill="3A7C22" w:themeFill="accent6" w:themeFillShade="BF"/>
      </w:tcPr>
    </w:tblStylePr>
    <w:tblStylePr w:type="band1Horz">
      <w:tblPr/>
      <w:tcPr>
        <w:tcBorders>
          <w:top w:val="nil"/>
          <w:left w:val="nil"/>
          <w:bottom w:val="nil"/>
          <w:right w:val="nil"/>
          <w:insideH w:val="nil"/>
          <w:insideV w:val="nil"/>
        </w:tcBorders>
        <w:shd w:val="clear" w:color="auto" w:fill="3A7C22"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156082" w:themeColor="accent1"/>
        <w:bottom w:val="single" w:sz="4" w:space="0" w:color="156082" w:themeColor="accent1"/>
        <w:right w:val="single" w:sz="4" w:space="0" w:color="156082" w:themeColor="accent1"/>
        <w:insideH w:val="single" w:sz="4" w:space="0" w:color="FFFFFF" w:themeColor="background1"/>
        <w:insideV w:val="single" w:sz="4" w:space="0" w:color="FFFFFF" w:themeColor="background1"/>
      </w:tblBorders>
    </w:tblPr>
    <w:tcPr>
      <w:shd w:val="clear" w:color="auto" w:fill="E0F2FA" w:themeFill="accen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C394D" w:themeFill="accent1" w:themeFillShade="99"/>
      </w:tcPr>
    </w:tblStylePr>
    <w:tblStylePr w:type="firstCol">
      <w:rPr>
        <w:color w:val="FFFFFF" w:themeColor="background1"/>
      </w:rPr>
      <w:tblPr/>
      <w:tcPr>
        <w:tcBorders>
          <w:top w:val="nil"/>
          <w:left w:val="nil"/>
          <w:bottom w:val="nil"/>
          <w:right w:val="nil"/>
          <w:insideH w:val="single" w:sz="4" w:space="0" w:color="0C394D" w:themeColor="accent1" w:themeShade="99"/>
          <w:insideV w:val="nil"/>
        </w:tcBorders>
        <w:shd w:val="clear" w:color="auto" w:fill="0C394D"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C394D" w:themeFill="accent1" w:themeFillShade="99"/>
      </w:tcPr>
    </w:tblStylePr>
    <w:tblStylePr w:type="band1Vert">
      <w:tblPr/>
      <w:tcPr>
        <w:shd w:val="clear" w:color="auto" w:fill="83CAEB" w:themeFill="accent1" w:themeFillTint="66"/>
      </w:tcPr>
    </w:tblStylePr>
    <w:tblStylePr w:type="band1Horz">
      <w:tblPr/>
      <w:tcPr>
        <w:shd w:val="clear" w:color="auto" w:fill="64BDE6"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E97132" w:themeColor="accent2"/>
        <w:bottom w:val="single" w:sz="4" w:space="0" w:color="E97132" w:themeColor="accent2"/>
        <w:right w:val="single" w:sz="4" w:space="0" w:color="E97132" w:themeColor="accent2"/>
        <w:insideH w:val="single" w:sz="4" w:space="0" w:color="FFFFFF" w:themeColor="background1"/>
        <w:insideV w:val="single" w:sz="4" w:space="0" w:color="FFFFFF" w:themeColor="background1"/>
      </w:tblBorders>
    </w:tblPr>
    <w:tcPr>
      <w:shd w:val="clear" w:color="auto" w:fill="FCF0EA" w:themeFill="accent2"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3F10" w:themeFill="accent2" w:themeFillShade="99"/>
      </w:tcPr>
    </w:tblStylePr>
    <w:tblStylePr w:type="firstCol">
      <w:rPr>
        <w:color w:val="FFFFFF" w:themeColor="background1"/>
      </w:rPr>
      <w:tblPr/>
      <w:tcPr>
        <w:tcBorders>
          <w:top w:val="nil"/>
          <w:left w:val="nil"/>
          <w:bottom w:val="nil"/>
          <w:right w:val="nil"/>
          <w:insideH w:val="single" w:sz="4" w:space="0" w:color="993F10" w:themeColor="accent2" w:themeShade="99"/>
          <w:insideV w:val="nil"/>
        </w:tcBorders>
        <w:shd w:val="clear" w:color="auto" w:fill="993F1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93F10" w:themeFill="accent2" w:themeFillShade="99"/>
      </w:tcPr>
    </w:tblStylePr>
    <w:tblStylePr w:type="band1Vert">
      <w:tblPr/>
      <w:tcPr>
        <w:shd w:val="clear" w:color="auto" w:fill="F6C5AC" w:themeFill="accent2" w:themeFillTint="66"/>
      </w:tcPr>
    </w:tblStylePr>
    <w:tblStylePr w:type="band1Horz">
      <w:tblPr/>
      <w:tcPr>
        <w:shd w:val="clear" w:color="auto" w:fill="F4B798"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0F9ED5" w:themeColor="accent4"/>
        <w:left w:val="single" w:sz="4" w:space="0" w:color="196B24" w:themeColor="accent3"/>
        <w:bottom w:val="single" w:sz="4" w:space="0" w:color="196B24" w:themeColor="accent3"/>
        <w:right w:val="single" w:sz="4" w:space="0" w:color="196B24" w:themeColor="accent3"/>
        <w:insideH w:val="single" w:sz="4" w:space="0" w:color="FFFFFF" w:themeColor="background1"/>
        <w:insideV w:val="single" w:sz="4" w:space="0" w:color="FFFFFF" w:themeColor="background1"/>
      </w:tblBorders>
    </w:tblPr>
    <w:tcPr>
      <w:shd w:val="clear" w:color="auto" w:fill="E0F8E3" w:themeFill="accent3" w:themeFillTint="19"/>
    </w:tcPr>
    <w:tblStylePr w:type="firstRow">
      <w:rPr>
        <w:b/>
        <w:bCs/>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F4015" w:themeFill="accent3" w:themeFillShade="99"/>
      </w:tcPr>
    </w:tblStylePr>
    <w:tblStylePr w:type="firstCol">
      <w:rPr>
        <w:color w:val="FFFFFF" w:themeColor="background1"/>
      </w:rPr>
      <w:tblPr/>
      <w:tcPr>
        <w:tcBorders>
          <w:top w:val="nil"/>
          <w:left w:val="nil"/>
          <w:bottom w:val="nil"/>
          <w:right w:val="nil"/>
          <w:insideH w:val="single" w:sz="4" w:space="0" w:color="0F4015" w:themeColor="accent3" w:themeShade="99"/>
          <w:insideV w:val="nil"/>
        </w:tcBorders>
        <w:shd w:val="clear" w:color="auto" w:fill="0F401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F4015" w:themeFill="accent3" w:themeFillShade="99"/>
      </w:tcPr>
    </w:tblStylePr>
    <w:tblStylePr w:type="band1Vert">
      <w:tblPr/>
      <w:tcPr>
        <w:shd w:val="clear" w:color="auto" w:fill="84E290" w:themeFill="accent3" w:themeFillTint="66"/>
      </w:tcPr>
    </w:tblStylePr>
    <w:tblStylePr w:type="band1Horz">
      <w:tblPr/>
      <w:tcPr>
        <w:shd w:val="clear" w:color="auto" w:fill="66DB75"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196B24" w:themeColor="accent3"/>
        <w:left w:val="single" w:sz="4" w:space="0" w:color="0F9ED5" w:themeColor="accent4"/>
        <w:bottom w:val="single" w:sz="4" w:space="0" w:color="0F9ED5" w:themeColor="accent4"/>
        <w:right w:val="single" w:sz="4" w:space="0" w:color="0F9ED5" w:themeColor="accent4"/>
        <w:insideH w:val="single" w:sz="4" w:space="0" w:color="FFFFFF" w:themeColor="background1"/>
        <w:insideV w:val="single" w:sz="4" w:space="0" w:color="FFFFFF" w:themeColor="background1"/>
      </w:tblBorders>
    </w:tblPr>
    <w:tcPr>
      <w:shd w:val="clear" w:color="auto" w:fill="E5F6FD" w:themeFill="accent4" w:themeFillTint="19"/>
    </w:tcPr>
    <w:tblStylePr w:type="firstRow">
      <w:rPr>
        <w:b/>
        <w:bCs/>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95E7F" w:themeFill="accent4" w:themeFillShade="99"/>
      </w:tcPr>
    </w:tblStylePr>
    <w:tblStylePr w:type="firstCol">
      <w:rPr>
        <w:color w:val="FFFFFF" w:themeColor="background1"/>
      </w:rPr>
      <w:tblPr/>
      <w:tcPr>
        <w:tcBorders>
          <w:top w:val="nil"/>
          <w:left w:val="nil"/>
          <w:bottom w:val="nil"/>
          <w:right w:val="nil"/>
          <w:insideH w:val="single" w:sz="4" w:space="0" w:color="095E7F" w:themeColor="accent4" w:themeShade="99"/>
          <w:insideV w:val="nil"/>
        </w:tcBorders>
        <w:shd w:val="clear" w:color="auto" w:fill="095E7F"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095E7F" w:themeFill="accent4" w:themeFillShade="99"/>
      </w:tcPr>
    </w:tblStylePr>
    <w:tblStylePr w:type="band1Vert">
      <w:tblPr/>
      <w:tcPr>
        <w:shd w:val="clear" w:color="auto" w:fill="95DCF7" w:themeFill="accent4" w:themeFillTint="66"/>
      </w:tcPr>
    </w:tblStylePr>
    <w:tblStylePr w:type="band1Horz">
      <w:tblPr/>
      <w:tcPr>
        <w:shd w:val="clear" w:color="auto" w:fill="7BD3F5"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4EA72E" w:themeColor="accent6"/>
        <w:left w:val="single" w:sz="4" w:space="0" w:color="A02B93" w:themeColor="accent5"/>
        <w:bottom w:val="single" w:sz="4" w:space="0" w:color="A02B93" w:themeColor="accent5"/>
        <w:right w:val="single" w:sz="4" w:space="0" w:color="A02B93" w:themeColor="accent5"/>
        <w:insideH w:val="single" w:sz="4" w:space="0" w:color="FFFFFF" w:themeColor="background1"/>
        <w:insideV w:val="single" w:sz="4" w:space="0" w:color="FFFFFF" w:themeColor="background1"/>
      </w:tblBorders>
    </w:tblPr>
    <w:tcPr>
      <w:shd w:val="clear" w:color="auto" w:fill="F8E7F6" w:themeFill="accent5" w:themeFillTint="19"/>
    </w:tcPr>
    <w:tblStylePr w:type="firstRow">
      <w:rPr>
        <w:b/>
        <w:bCs/>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F1957" w:themeFill="accent5" w:themeFillShade="99"/>
      </w:tcPr>
    </w:tblStylePr>
    <w:tblStylePr w:type="firstCol">
      <w:rPr>
        <w:color w:val="FFFFFF" w:themeColor="background1"/>
      </w:rPr>
      <w:tblPr/>
      <w:tcPr>
        <w:tcBorders>
          <w:top w:val="nil"/>
          <w:left w:val="nil"/>
          <w:bottom w:val="nil"/>
          <w:right w:val="nil"/>
          <w:insideH w:val="single" w:sz="4" w:space="0" w:color="5F1957" w:themeColor="accent5" w:themeShade="99"/>
          <w:insideV w:val="nil"/>
        </w:tcBorders>
        <w:shd w:val="clear" w:color="auto" w:fill="5F1957"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5F1957" w:themeFill="accent5" w:themeFillShade="99"/>
      </w:tcPr>
    </w:tblStylePr>
    <w:tblStylePr w:type="band1Vert">
      <w:tblPr/>
      <w:tcPr>
        <w:shd w:val="clear" w:color="auto" w:fill="E59EDC" w:themeFill="accent5" w:themeFillTint="66"/>
      </w:tcPr>
    </w:tblStylePr>
    <w:tblStylePr w:type="band1Horz">
      <w:tblPr/>
      <w:tcPr>
        <w:shd w:val="clear" w:color="auto" w:fill="DE86D4"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A02B93" w:themeColor="accent5"/>
        <w:left w:val="single" w:sz="4" w:space="0" w:color="4EA72E" w:themeColor="accent6"/>
        <w:bottom w:val="single" w:sz="4" w:space="0" w:color="4EA72E" w:themeColor="accent6"/>
        <w:right w:val="single" w:sz="4" w:space="0" w:color="4EA72E" w:themeColor="accent6"/>
        <w:insideH w:val="single" w:sz="4" w:space="0" w:color="FFFFFF" w:themeColor="background1"/>
        <w:insideV w:val="single" w:sz="4" w:space="0" w:color="FFFFFF" w:themeColor="background1"/>
      </w:tblBorders>
    </w:tblPr>
    <w:tcPr>
      <w:shd w:val="clear" w:color="auto" w:fill="ECF8E8" w:themeFill="accent6" w:themeFillTint="19"/>
    </w:tcPr>
    <w:tblStylePr w:type="firstRow">
      <w:rPr>
        <w:b/>
        <w:bCs/>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641B" w:themeFill="accent6" w:themeFillShade="99"/>
      </w:tcPr>
    </w:tblStylePr>
    <w:tblStylePr w:type="firstCol">
      <w:rPr>
        <w:color w:val="FFFFFF" w:themeColor="background1"/>
      </w:rPr>
      <w:tblPr/>
      <w:tcPr>
        <w:tcBorders>
          <w:top w:val="nil"/>
          <w:left w:val="nil"/>
          <w:bottom w:val="nil"/>
          <w:right w:val="nil"/>
          <w:insideH w:val="single" w:sz="4" w:space="0" w:color="2E641B" w:themeColor="accent6" w:themeShade="99"/>
          <w:insideV w:val="nil"/>
        </w:tcBorders>
        <w:shd w:val="clear" w:color="auto" w:fill="2E641B"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2E641B" w:themeFill="accent6" w:themeFillShade="99"/>
      </w:tcPr>
    </w:tblStylePr>
    <w:tblStylePr w:type="band1Vert">
      <w:tblPr/>
      <w:tcPr>
        <w:shd w:val="clear" w:color="auto" w:fill="B3E5A1" w:themeFill="accent6" w:themeFillTint="66"/>
      </w:tcPr>
    </w:tblStylePr>
    <w:tblStylePr w:type="band1Horz">
      <w:tblPr/>
      <w:tcPr>
        <w:shd w:val="clear" w:color="auto" w:fill="A0DF8A"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0F2FA" w:themeFill="accen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2DEF2" w:themeFill="accent1" w:themeFillTint="3F"/>
      </w:tcPr>
    </w:tblStylePr>
    <w:tblStylePr w:type="band1Horz">
      <w:tblPr/>
      <w:tcPr>
        <w:shd w:val="clear" w:color="auto" w:fill="C1E4F5"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CF0EA" w:themeFill="accent2"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9DBCC" w:themeFill="accent2" w:themeFillTint="3F"/>
      </w:tcPr>
    </w:tblStylePr>
    <w:tblStylePr w:type="band1Horz">
      <w:tblPr/>
      <w:tcPr>
        <w:shd w:val="clear" w:color="auto" w:fill="FAE2D5"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E0F8E3" w:themeFill="accent3" w:themeFillTint="19"/>
    </w:tcPr>
    <w:tblStylePr w:type="firstRow">
      <w:rPr>
        <w:b/>
        <w:bCs/>
        <w:color w:val="FFFFFF" w:themeColor="background1"/>
      </w:rPr>
      <w:tblPr/>
      <w:tcPr>
        <w:tcBorders>
          <w:bottom w:val="single" w:sz="12" w:space="0" w:color="FFFFFF" w:themeColor="background1"/>
        </w:tcBorders>
        <w:shd w:val="clear" w:color="auto" w:fill="0C7EAA" w:themeFill="accent4" w:themeFillShade="CC"/>
      </w:tcPr>
    </w:tblStylePr>
    <w:tblStylePr w:type="lastRow">
      <w:rPr>
        <w:b/>
        <w:bCs/>
        <w:color w:val="0C7EAA"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3EDBA" w:themeFill="accent3" w:themeFillTint="3F"/>
      </w:tcPr>
    </w:tblStylePr>
    <w:tblStylePr w:type="band1Horz">
      <w:tblPr/>
      <w:tcPr>
        <w:shd w:val="clear" w:color="auto" w:fill="C1F0C7"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E5F6FD" w:themeFill="accent4" w:themeFillTint="19"/>
    </w:tcPr>
    <w:tblStylePr w:type="firstRow">
      <w:rPr>
        <w:b/>
        <w:bCs/>
        <w:color w:val="FFFFFF" w:themeColor="background1"/>
      </w:rPr>
      <w:tblPr/>
      <w:tcPr>
        <w:tcBorders>
          <w:bottom w:val="single" w:sz="12" w:space="0" w:color="FFFFFF" w:themeColor="background1"/>
        </w:tcBorders>
        <w:shd w:val="clear" w:color="auto" w:fill="14551C" w:themeFill="accent3" w:themeFillShade="CC"/>
      </w:tcPr>
    </w:tblStylePr>
    <w:tblStylePr w:type="lastRow">
      <w:rPr>
        <w:b/>
        <w:bCs/>
        <w:color w:val="14551C"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DE9FA" w:themeFill="accent4" w:themeFillTint="3F"/>
      </w:tcPr>
    </w:tblStylePr>
    <w:tblStylePr w:type="band1Horz">
      <w:tblPr/>
      <w:tcPr>
        <w:shd w:val="clear" w:color="auto" w:fill="CAEDFB"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F8E7F6" w:themeFill="accent5" w:themeFillTint="19"/>
    </w:tcPr>
    <w:tblStylePr w:type="firstRow">
      <w:rPr>
        <w:b/>
        <w:bCs/>
        <w:color w:val="FFFFFF" w:themeColor="background1"/>
      </w:rPr>
      <w:tblPr/>
      <w:tcPr>
        <w:tcBorders>
          <w:bottom w:val="single" w:sz="12" w:space="0" w:color="FFFFFF" w:themeColor="background1"/>
        </w:tcBorders>
        <w:shd w:val="clear" w:color="auto" w:fill="3E8524" w:themeFill="accent6" w:themeFillShade="CC"/>
      </w:tcPr>
    </w:tblStylePr>
    <w:tblStylePr w:type="lastRow">
      <w:rPr>
        <w:b/>
        <w:bCs/>
        <w:color w:val="3E8524"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C3E9" w:themeFill="accent5" w:themeFillTint="3F"/>
      </w:tcPr>
    </w:tblStylePr>
    <w:tblStylePr w:type="band1Horz">
      <w:tblPr/>
      <w:tcPr>
        <w:shd w:val="clear" w:color="auto" w:fill="F2CEED"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ECF8E8" w:themeFill="accent6" w:themeFillTint="19"/>
    </w:tcPr>
    <w:tblStylePr w:type="firstRow">
      <w:rPr>
        <w:b/>
        <w:bCs/>
        <w:color w:val="FFFFFF" w:themeColor="background1"/>
      </w:rPr>
      <w:tblPr/>
      <w:tcPr>
        <w:tcBorders>
          <w:bottom w:val="single" w:sz="12" w:space="0" w:color="FFFFFF" w:themeColor="background1"/>
        </w:tcBorders>
        <w:shd w:val="clear" w:color="auto" w:fill="7F2275" w:themeFill="accent5" w:themeFillShade="CC"/>
      </w:tcPr>
    </w:tblStylePr>
    <w:tblStylePr w:type="lastRow">
      <w:rPr>
        <w:b/>
        <w:bCs/>
        <w:color w:val="7F227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EFC5" w:themeFill="accent6" w:themeFillTint="3F"/>
      </w:tcPr>
    </w:tblStylePr>
    <w:tblStylePr w:type="band1Horz">
      <w:tblPr/>
      <w:tcPr>
        <w:shd w:val="clear" w:color="auto" w:fill="D9F2D0"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E4F5" w:themeFill="accent1" w:themeFillTint="33"/>
    </w:tcPr>
    <w:tblStylePr w:type="firstRow">
      <w:rPr>
        <w:b/>
        <w:bCs/>
      </w:rPr>
      <w:tblPr/>
      <w:tcPr>
        <w:shd w:val="clear" w:color="auto" w:fill="83CAEB" w:themeFill="accent1" w:themeFillTint="66"/>
      </w:tcPr>
    </w:tblStylePr>
    <w:tblStylePr w:type="lastRow">
      <w:rPr>
        <w:b/>
        <w:bCs/>
        <w:color w:val="000000" w:themeColor="text1"/>
      </w:rPr>
      <w:tblPr/>
      <w:tcPr>
        <w:shd w:val="clear" w:color="auto" w:fill="83CAEB" w:themeFill="accent1" w:themeFillTint="66"/>
      </w:tcPr>
    </w:tblStylePr>
    <w:tblStylePr w:type="firstCol">
      <w:rPr>
        <w:color w:val="FFFFFF" w:themeColor="background1"/>
      </w:rPr>
      <w:tblPr/>
      <w:tcPr>
        <w:shd w:val="clear" w:color="auto" w:fill="0F4761" w:themeFill="accent1" w:themeFillShade="BF"/>
      </w:tcPr>
    </w:tblStylePr>
    <w:tblStylePr w:type="lastCol">
      <w:rPr>
        <w:color w:val="FFFFFF" w:themeColor="background1"/>
      </w:rPr>
      <w:tblPr/>
      <w:tcPr>
        <w:shd w:val="clear" w:color="auto" w:fill="0F4761" w:themeFill="accent1" w:themeFillShade="BF"/>
      </w:tc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AE2D5" w:themeFill="accent2" w:themeFillTint="33"/>
    </w:tcPr>
    <w:tblStylePr w:type="firstRow">
      <w:rPr>
        <w:b/>
        <w:bCs/>
      </w:rPr>
      <w:tblPr/>
      <w:tcPr>
        <w:shd w:val="clear" w:color="auto" w:fill="F6C5AC" w:themeFill="accent2" w:themeFillTint="66"/>
      </w:tcPr>
    </w:tblStylePr>
    <w:tblStylePr w:type="lastRow">
      <w:rPr>
        <w:b/>
        <w:bCs/>
        <w:color w:val="000000" w:themeColor="text1"/>
      </w:rPr>
      <w:tblPr/>
      <w:tcPr>
        <w:shd w:val="clear" w:color="auto" w:fill="F6C5AC" w:themeFill="accent2" w:themeFillTint="66"/>
      </w:tcPr>
    </w:tblStylePr>
    <w:tblStylePr w:type="firstCol">
      <w:rPr>
        <w:color w:val="FFFFFF" w:themeColor="background1"/>
      </w:rPr>
      <w:tblPr/>
      <w:tcPr>
        <w:shd w:val="clear" w:color="auto" w:fill="BF4E14" w:themeFill="accent2" w:themeFillShade="BF"/>
      </w:tcPr>
    </w:tblStylePr>
    <w:tblStylePr w:type="lastCol">
      <w:rPr>
        <w:color w:val="FFFFFF" w:themeColor="background1"/>
      </w:rPr>
      <w:tblPr/>
      <w:tcPr>
        <w:shd w:val="clear" w:color="auto" w:fill="BF4E14" w:themeFill="accent2" w:themeFillShade="BF"/>
      </w:tc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F0C7" w:themeFill="accent3" w:themeFillTint="33"/>
    </w:tcPr>
    <w:tblStylePr w:type="firstRow">
      <w:rPr>
        <w:b/>
        <w:bCs/>
      </w:rPr>
      <w:tblPr/>
      <w:tcPr>
        <w:shd w:val="clear" w:color="auto" w:fill="84E290" w:themeFill="accent3" w:themeFillTint="66"/>
      </w:tcPr>
    </w:tblStylePr>
    <w:tblStylePr w:type="lastRow">
      <w:rPr>
        <w:b/>
        <w:bCs/>
        <w:color w:val="000000" w:themeColor="text1"/>
      </w:rPr>
      <w:tblPr/>
      <w:tcPr>
        <w:shd w:val="clear" w:color="auto" w:fill="84E290" w:themeFill="accent3" w:themeFillTint="66"/>
      </w:tcPr>
    </w:tblStylePr>
    <w:tblStylePr w:type="firstCol">
      <w:rPr>
        <w:color w:val="FFFFFF" w:themeColor="background1"/>
      </w:rPr>
      <w:tblPr/>
      <w:tcPr>
        <w:shd w:val="clear" w:color="auto" w:fill="124F1A" w:themeFill="accent3" w:themeFillShade="BF"/>
      </w:tcPr>
    </w:tblStylePr>
    <w:tblStylePr w:type="lastCol">
      <w:rPr>
        <w:color w:val="FFFFFF" w:themeColor="background1"/>
      </w:rPr>
      <w:tblPr/>
      <w:tcPr>
        <w:shd w:val="clear" w:color="auto" w:fill="124F1A" w:themeFill="accent3" w:themeFillShade="BF"/>
      </w:tc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AEDFB" w:themeFill="accent4" w:themeFillTint="33"/>
    </w:tcPr>
    <w:tblStylePr w:type="firstRow">
      <w:rPr>
        <w:b/>
        <w:bCs/>
      </w:rPr>
      <w:tblPr/>
      <w:tcPr>
        <w:shd w:val="clear" w:color="auto" w:fill="95DCF7" w:themeFill="accent4" w:themeFillTint="66"/>
      </w:tcPr>
    </w:tblStylePr>
    <w:tblStylePr w:type="lastRow">
      <w:rPr>
        <w:b/>
        <w:bCs/>
        <w:color w:val="000000" w:themeColor="text1"/>
      </w:rPr>
      <w:tblPr/>
      <w:tcPr>
        <w:shd w:val="clear" w:color="auto" w:fill="95DCF7" w:themeFill="accent4" w:themeFillTint="66"/>
      </w:tcPr>
    </w:tblStylePr>
    <w:tblStylePr w:type="firstCol">
      <w:rPr>
        <w:color w:val="FFFFFF" w:themeColor="background1"/>
      </w:rPr>
      <w:tblPr/>
      <w:tcPr>
        <w:shd w:val="clear" w:color="auto" w:fill="0B769F" w:themeFill="accent4" w:themeFillShade="BF"/>
      </w:tcPr>
    </w:tblStylePr>
    <w:tblStylePr w:type="lastCol">
      <w:rPr>
        <w:color w:val="FFFFFF" w:themeColor="background1"/>
      </w:rPr>
      <w:tblPr/>
      <w:tcPr>
        <w:shd w:val="clear" w:color="auto" w:fill="0B769F" w:themeFill="accent4" w:themeFillShade="BF"/>
      </w:tc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CEED" w:themeFill="accent5" w:themeFillTint="33"/>
    </w:tcPr>
    <w:tblStylePr w:type="firstRow">
      <w:rPr>
        <w:b/>
        <w:bCs/>
      </w:rPr>
      <w:tblPr/>
      <w:tcPr>
        <w:shd w:val="clear" w:color="auto" w:fill="E59EDC" w:themeFill="accent5" w:themeFillTint="66"/>
      </w:tcPr>
    </w:tblStylePr>
    <w:tblStylePr w:type="lastRow">
      <w:rPr>
        <w:b/>
        <w:bCs/>
        <w:color w:val="000000" w:themeColor="text1"/>
      </w:rPr>
      <w:tblPr/>
      <w:tcPr>
        <w:shd w:val="clear" w:color="auto" w:fill="E59EDC" w:themeFill="accent5" w:themeFillTint="66"/>
      </w:tcPr>
    </w:tblStylePr>
    <w:tblStylePr w:type="firstCol">
      <w:rPr>
        <w:color w:val="FFFFFF" w:themeColor="background1"/>
      </w:rPr>
      <w:tblPr/>
      <w:tcPr>
        <w:shd w:val="clear" w:color="auto" w:fill="77206D" w:themeFill="accent5" w:themeFillShade="BF"/>
      </w:tcPr>
    </w:tblStylePr>
    <w:tblStylePr w:type="lastCol">
      <w:rPr>
        <w:color w:val="FFFFFF" w:themeColor="background1"/>
      </w:rPr>
      <w:tblPr/>
      <w:tcPr>
        <w:shd w:val="clear" w:color="auto" w:fill="77206D" w:themeFill="accent5" w:themeFillShade="BF"/>
      </w:tc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F2D0" w:themeFill="accent6" w:themeFillTint="33"/>
    </w:tcPr>
    <w:tblStylePr w:type="firstRow">
      <w:rPr>
        <w:b/>
        <w:bCs/>
      </w:rPr>
      <w:tblPr/>
      <w:tcPr>
        <w:shd w:val="clear" w:color="auto" w:fill="B3E5A1" w:themeFill="accent6" w:themeFillTint="66"/>
      </w:tcPr>
    </w:tblStylePr>
    <w:tblStylePr w:type="lastRow">
      <w:rPr>
        <w:b/>
        <w:bCs/>
        <w:color w:val="000000" w:themeColor="text1"/>
      </w:rPr>
      <w:tblPr/>
      <w:tcPr>
        <w:shd w:val="clear" w:color="auto" w:fill="B3E5A1" w:themeFill="accent6" w:themeFillTint="66"/>
      </w:tcPr>
    </w:tblStylePr>
    <w:tblStylePr w:type="firstCol">
      <w:rPr>
        <w:color w:val="FFFFFF" w:themeColor="background1"/>
      </w:rPr>
      <w:tblPr/>
      <w:tcPr>
        <w:shd w:val="clear" w:color="auto" w:fill="3A7C22" w:themeFill="accent6" w:themeFillShade="BF"/>
      </w:tcPr>
    </w:tblStylePr>
    <w:tblStylePr w:type="lastCol">
      <w:rPr>
        <w:color w:val="FFFFFF" w:themeColor="background1"/>
      </w:rPr>
      <w:tblPr/>
      <w:tcPr>
        <w:shd w:val="clear" w:color="auto" w:fill="3A7C22" w:themeFill="accent6" w:themeFillShade="BF"/>
      </w:tc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character" w:customStyle="1" w:styleId="NoSpacingChar">
    <w:name w:val="No Spacing Char"/>
    <w:basedOn w:val="DefaultParagraphFont"/>
    <w:link w:val="NoSpacing"/>
    <w:uiPriority w:val="1"/>
    <w:rsid w:val="00641096"/>
  </w:style>
  <w:style w:type="paragraph" w:customStyle="1" w:styleId="PersonalName">
    <w:name w:val="Personal Name"/>
    <w:basedOn w:val="Title"/>
    <w:rsid w:val="00641096"/>
    <w:rPr>
      <w:b/>
      <w:caps/>
      <w:color w:val="000000"/>
      <w:sz w:val="28"/>
      <w:szCs w:val="28"/>
    </w:rPr>
  </w:style>
  <w:style w:type="table" w:styleId="GridTable7ColourfulAccent6">
    <w:name w:val="Grid Table 7 Colorful Accent 6"/>
    <w:basedOn w:val="TableNormal"/>
    <w:uiPriority w:val="52"/>
    <w:rsid w:val="008F16EB"/>
    <w:pPr>
      <w:spacing w:after="0" w:line="240" w:lineRule="auto"/>
    </w:pPr>
    <w:rPr>
      <w:color w:val="3A7C22" w:themeColor="accent6" w:themeShade="BF"/>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sz="4" w:space="0" w:color="8DD873" w:themeColor="accent6" w:themeTint="99"/>
        </w:tcBorders>
      </w:tcPr>
    </w:tblStylePr>
    <w:tblStylePr w:type="nwCell">
      <w:tblPr/>
      <w:tcPr>
        <w:tcBorders>
          <w:bottom w:val="single" w:sz="4" w:space="0" w:color="8DD873" w:themeColor="accent6" w:themeTint="99"/>
        </w:tcBorders>
      </w:tcPr>
    </w:tblStylePr>
    <w:tblStylePr w:type="seCell">
      <w:tblPr/>
      <w:tcPr>
        <w:tcBorders>
          <w:top w:val="single" w:sz="4" w:space="0" w:color="8DD873" w:themeColor="accent6" w:themeTint="99"/>
        </w:tcBorders>
      </w:tcPr>
    </w:tblStylePr>
    <w:tblStylePr w:type="swCell">
      <w:tblPr/>
      <w:tcPr>
        <w:tcBorders>
          <w:top w:val="single" w:sz="4" w:space="0" w:color="8DD873" w:themeColor="accent6" w:themeTint="99"/>
        </w:tcBorders>
      </w:tcPr>
    </w:tblStylePr>
  </w:style>
  <w:style w:type="table" w:styleId="GridTable1Light">
    <w:name w:val="Grid Table 1 Light"/>
    <w:basedOn w:val="TableNormal"/>
    <w:uiPriority w:val="99"/>
    <w:rsid w:val="008F16EB"/>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ListTable6Colourful">
    <w:name w:val="List Table 6 Colorful"/>
    <w:basedOn w:val="TableNormal"/>
    <w:uiPriority w:val="51"/>
    <w:rsid w:val="008F16EB"/>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PlainTable2">
    <w:name w:val="Plain Table 2"/>
    <w:basedOn w:val="TableNormal"/>
    <w:uiPriority w:val="99"/>
    <w:rsid w:val="008F16EB"/>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99"/>
    <w:rsid w:val="008F16EB"/>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1">
    <w:name w:val="Plain Table 1"/>
    <w:basedOn w:val="TableNormal"/>
    <w:uiPriority w:val="99"/>
    <w:rsid w:val="008F16EB"/>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Noah">
    <w:name w:val="Noah"/>
    <w:basedOn w:val="TableNormal"/>
    <w:uiPriority w:val="99"/>
    <w:rsid w:val="008F16E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color w:val="auto"/>
      </w:rPr>
      <w:tblPr/>
      <w:tcPr>
        <w:shd w:val="clear" w:color="auto" w:fill="E8E8E8" w:themeFill="background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 Id="rId8" Type="http://schemas.openxmlformats.org/officeDocument/2006/relationships/image" Target="media/image1.jpg"/><Relationship Id="rId9" Type="http://schemas.openxmlformats.org/officeDocument/2006/relationships/hyperlink" Target="https://gaymingmag.com/2026/09/gayming-manual-a-bi-monthly-print-only-zine-launches-celebrating-lgbtq-gaming-nerd-culture/?utm_source=rss&amp;utm_medium=rss&amp;utm_campaign=gayming-manual-a-bi-monthly-print-only-zine-launches-celebrating-lgbtq-gaming-nerd-culture" TargetMode="External"/><Relationship Id="rId10" Type="http://schemas.openxmlformats.org/officeDocument/2006/relationships/hyperlink" Target="https://gaymingmag.com/" TargetMode="External"/><Relationship Id="rId11" Type="http://schemas.openxmlformats.org/officeDocument/2006/relationships/hyperlink" Target="https://icv2.com/articles/news/view/61837/gama-expo-2026-news-vast-grimm-ttrpg-goes-zine-format" TargetMode="External"/><Relationship Id="rId12" Type="http://schemas.openxmlformats.org/officeDocument/2006/relationships/hyperlink" Target="https://en.wikipedia.org/wiki/Homocore_%28zine%29" TargetMode="External"/><Relationship Id="rId13" Type="http://schemas.openxmlformats.org/officeDocument/2006/relationships/hyperlink" Target="https://www.tumgik.com/gaymergirlszine-blog" TargetMode="External"/><Relationship Id="rId14" Type="http://schemas.openxmlformats.org/officeDocument/2006/relationships/hyperlink" Target="https://bloatgames.squarespace.com/shop/overworld-tabletop-monster-manual-rpg-zine-fifth-edition-pre-order"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http://schemas.openxmlformats.org/officeDocument/2006/relationships/officeDocument" TargetMode="External"/></Relationships>
</file>

<file path=word/theme/theme1.xml><?xml version="1.0" encoding="utf-8"?>
<a:theme xmlns:a="http://schemas.openxmlformats.org/drawingml/2006/main" name="Crop">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Crop">
      <a:majorFont>
        <a:latin typeface="Franklin Gothic Book" panose="020B0503020102020204"/>
        <a:ea typeface=""/>
        <a:cs typeface=""/>
      </a:majorFont>
      <a:minorFont>
        <a:latin typeface="Franklin Gothic Book" panose="020B0503020102020204"/>
        <a:ea typeface=""/>
        <a:cs typeface=""/>
      </a:minorFont>
    </a:fontScheme>
    <a:fmtScheme name="Crop">
      <a:fillStyleLst>
        <a:solidFill>
          <a:schemeClr val="phClr"/>
        </a:solidFill>
        <a:gradFill rotWithShape="1">
          <a:gsLst>
            <a:gs pos="0">
              <a:schemeClr val="phClr">
                <a:tint val="67000"/>
                <a:satMod val="105000"/>
                <a:lumMod val="110000"/>
              </a:schemeClr>
            </a:gs>
            <a:gs pos="50000">
              <a:schemeClr val="phClr">
                <a:tint val="73000"/>
                <a:satMod val="103000"/>
                <a:lumMod val="105000"/>
              </a:schemeClr>
            </a:gs>
            <a:gs pos="100000">
              <a:schemeClr val="phClr">
                <a:tint val="81000"/>
                <a:satMod val="109000"/>
                <a:lumMod val="105000"/>
              </a:schemeClr>
            </a:gs>
          </a:gsLst>
          <a:lin ang="5400000" scaled="0"/>
        </a:gradFill>
        <a:gradFill rotWithShape="1">
          <a:gsLst>
            <a:gs pos="0">
              <a:schemeClr val="phClr">
                <a:tint val="94000"/>
                <a:satMod val="103000"/>
                <a:lumMod val="102000"/>
              </a:schemeClr>
            </a:gs>
            <a:gs pos="50000">
              <a:schemeClr val="phClr">
                <a:shade val="100000"/>
                <a:satMod val="110000"/>
                <a:lumMod val="100000"/>
              </a:schemeClr>
            </a:gs>
            <a:gs pos="100000">
              <a:schemeClr val="phClr">
                <a:shade val="78000"/>
                <a:satMod val="120000"/>
                <a:lumMod val="99000"/>
              </a:schemeClr>
            </a:gs>
          </a:gsLst>
          <a:lin ang="5400000" scaled="0"/>
        </a:gradFill>
      </a:fillStyleLst>
      <a:lnStyleLst>
        <a:ln w="6350" cap="flat" cmpd="sng" algn="in">
          <a:solidFill>
            <a:schemeClr val="phClr"/>
          </a:solidFill>
          <a:prstDash val="solid"/>
        </a:ln>
        <a:ln w="34925" cap="flat" cmpd="sng" algn="in">
          <a:solidFill>
            <a:schemeClr val="phClr"/>
          </a:solidFill>
          <a:prstDash val="solid"/>
        </a:ln>
        <a:ln w="19050" cap="flat" cmpd="sng" algn="in">
          <a:solidFill>
            <a:schemeClr val="phClr"/>
          </a:solidFill>
          <a:prstDash val="solid"/>
        </a:ln>
      </a:lnStyleLst>
      <a:effectStyleLst>
        <a:effectStyle>
          <a:effectLst/>
        </a:effectStyle>
        <a:effectStyle>
          <a:effectLst/>
        </a:effectStyle>
        <a:effectStyle>
          <a:effectLst>
            <a:outerShdw blurRad="57150" dist="19050" dir="5400000" algn="ctr" rotWithShape="0">
              <a:srgbClr val="000000">
                <a:alpha val="35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hade val="98000"/>
                <a:satMod val="150000"/>
                <a:lumMod val="102000"/>
              </a:schemeClr>
            </a:gs>
            <a:gs pos="50000">
              <a:schemeClr val="phClr">
                <a:tint val="98000"/>
                <a:shade val="90000"/>
                <a:satMod val="13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Crop" id="{EC9488ED-E761-4D60-9AC4-764D1FE2C171}" vid="{CE19780C-D67D-4C13-9DE9-A52BC3BA51B4}"/>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template.dotx</Template>
  <TotalTime>1</TotalTime>
  <Pages>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Joao Soares</dc:creator>
  <cp:keywords/>
  <dc:description>generated by python-docx</dc:description>
  <cp:lastModifiedBy>Joao Soares</cp:lastModifiedBy>
  <cp:revision>2</cp:revision>
  <dcterms:created xsi:type="dcterms:W3CDTF">2025-04-30T15:43:00Z</dcterms:created>
  <dcterms:modified xsi:type="dcterms:W3CDTF">2025-04-30T15:43:00Z</dcterms:modified>
  <cp:category/>
</cp:coreProperties>
</file>