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Back-to-School Mental Health Resources for Young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are looking beyond pencils and timetables this back-to-school season, with growing attention on anxiety, confidence, healthy relationships and online safety. A practical collection from the Canadian Women’s Foundation brings together expert conversations, youth-focused reading and free learning tools to help adults support girls and gender-diverse young people through the return to class.</w:t>
      </w:r>
      <w:r/>
    </w:p>
    <w:p>
      <w:pPr>
        <w:pStyle w:val="Heading2"/>
      </w:pPr>
      <w:r>
        <w:t>Essential Takeaways</w:t>
      </w:r>
      <w:r/>
      <w:r/>
    </w:p>
    <w:p>
      <w:pPr>
        <w:pStyle w:val="ListBullet"/>
        <w:spacing w:line="240" w:lineRule="auto"/>
        <w:ind w:left="720"/>
      </w:pPr>
      <w:r/>
      <w:r>
        <w:rPr>
          <w:b/>
        </w:rPr>
        <w:t>Mental health matters:</w:t>
      </w:r>
      <w:r>
        <w:t xml:space="preserve"> A calm, regular conversation can make returning to school feel less overwhelming.</w:t>
      </w:r>
      <w:r/>
    </w:p>
    <w:p>
      <w:pPr>
        <w:pStyle w:val="ListBullet"/>
        <w:spacing w:line="240" w:lineRule="auto"/>
        <w:ind w:left="720"/>
      </w:pPr>
      <w:r/>
      <w:r>
        <w:rPr>
          <w:b/>
        </w:rPr>
        <w:t>Healthy relationships can be taught:</w:t>
      </w:r>
      <w:r>
        <w:t xml:space="preserve"> Families, schools and communities all have a role in helping teenagers recognise respect and warning signs.</w:t>
      </w:r>
      <w:r/>
    </w:p>
    <w:p>
      <w:pPr>
        <w:pStyle w:val="ListBullet"/>
        <w:spacing w:line="240" w:lineRule="auto"/>
        <w:ind w:left="720"/>
      </w:pPr>
      <w:r/>
      <w:r>
        <w:rPr>
          <w:b/>
        </w:rPr>
        <w:t>Online safety needs attention:</w:t>
      </w:r>
      <w:r>
        <w:t xml:space="preserve"> Young women and gender-diverse young people can face heightened risks of digital abuse.</w:t>
      </w:r>
      <w:r/>
    </w:p>
    <w:p>
      <w:pPr>
        <w:pStyle w:val="ListBullet"/>
        <w:spacing w:line="240" w:lineRule="auto"/>
        <w:ind w:left="720"/>
      </w:pPr>
      <w:r/>
      <w:r>
        <w:rPr>
          <w:b/>
        </w:rPr>
        <w:t>Support adults, too:</w:t>
      </w:r>
      <w:r>
        <w:t xml:space="preserve"> Free training includes strategies for youth workers supporting Black, Indigenous and 2SLGBTQIA+ young people.</w:t>
      </w:r>
      <w:r/>
    </w:p>
    <w:p>
      <w:pPr>
        <w:pStyle w:val="ListBullet"/>
        <w:spacing w:line="240" w:lineRule="auto"/>
        <w:ind w:left="720"/>
      </w:pPr>
      <w:r/>
      <w:r>
        <w:rPr>
          <w:b/>
        </w:rPr>
        <w:t>Small routines help:</w:t>
      </w:r>
      <w:r>
        <w:t xml:space="preserve"> Sleep, preparation and manageable check-ins can soften back-to-school anxiety.</w:t>
      </w:r>
      <w:r/>
      <w:r/>
    </w:p>
    <w:p>
      <w:pPr>
        <w:pStyle w:val="Heading2"/>
      </w:pPr>
      <w:r>
        <w:t>Back-to-school nerves deserve more than a quick pep talk</w:t>
      </w:r>
      <w:r/>
    </w:p>
    <w:p>
      <w:r/>
      <w:r>
        <w:t>The return to school can look cheerful from the outside, but for some young people it brings a knot of worry, social pressure and uncertainty. New classes, changing friendships and the constant hum of online life can make the first weeks feel especially intense.</w:t>
      </w:r>
      <w:r/>
    </w:p>
    <w:p>
      <w:r/>
      <w:r>
        <w:t>The Canadian Women’s Foundation’s back-to-school collection focuses on the emotional side of that transition, rather than treating it as a simple organisational exercise. Its conversations with mental-health and youth specialists explore how caring adults can support confidence, wellbeing and healthier relationships.</w:t>
      </w:r>
      <w:r/>
    </w:p>
    <w:p>
      <w:r/>
      <w:r>
        <w:t>That approach matters because reassurance works best when it feels like listening, not lecturing. A quiet chat over breakfast may do more than a grand speech delivered five minutes before the bus arrives.</w:t>
      </w:r>
      <w:r/>
    </w:p>
    <w:p>
      <w:pPr>
        <w:pStyle w:val="Heading2"/>
      </w:pPr>
      <w:r>
        <w:t>What experts say about easing the return to school</w:t>
      </w:r>
      <w:r/>
    </w:p>
    <w:p>
      <w:r/>
      <w:r>
        <w:t>In a discussion with the foundation, social worker Taylor Meissner considers how adults can help young people manage the shift back into school life. The emphasis is on creating space for honest conversations about feelings, relationships and the pressures young people may be carrying.</w:t>
      </w:r>
      <w:r/>
    </w:p>
    <w:p>
      <w:r/>
      <w:r>
        <w:t>A second conversation features Dr Stacey Bélanger, a paediatrician with expertise in child and adolescent health. Her perspective adds a useful reminder that emotional strain can show up in everyday ways, including sleep changes, irritability, withdrawal or difficulty concentrating.</w:t>
      </w:r>
      <w:r/>
    </w:p>
    <w:p>
      <w:r/>
      <w:r>
        <w:t>Guidance from the Kids Mental Health Foundation similarly encourages families to treat back-to-school worries as something to discuss openly, rather than dismissing them as overreaction. If anxiety is affecting sleep, attendance or daily functioning, seeking professional help is a sensible next step. (Kids Mental Health Foundation)</w:t>
      </w:r>
      <w:r/>
    </w:p>
    <w:p>
      <w:pPr>
        <w:pStyle w:val="Heading2"/>
      </w:pPr>
      <w:r>
        <w:t>Healthy relationships start with practical conversations</w:t>
      </w:r>
      <w:r/>
    </w:p>
    <w:p>
      <w:r/>
      <w:r>
        <w:t>School is also where many young people are learning how friendship, dating and boundaries work in real time. That makes relationship education more than a classroom extra. It can give teenagers language for respect, consent, pressure and control before a difficult situation becomes harder to name.</w:t>
      </w:r>
      <w:r/>
    </w:p>
    <w:p>
      <w:r/>
      <w:r>
        <w:t>The foundation highlights work from the Centre for Sexuality, including the From Me to We programme, which supports young people in building healthy relationships and feeling less isolated. Involving families and the wider community strengthens that learning, because young people hear consistent messages in more than one place.</w:t>
      </w:r>
      <w:r/>
    </w:p>
    <w:p>
      <w:r/>
      <w:r>
        <w:t>Adults don't need to have every answer. Asking what respectful behaviour looks like, how someone should respond to a boundary and where help is available can open the door without making the conversation feel like an interrogation.</w:t>
      </w:r>
      <w:r/>
    </w:p>
    <w:p>
      <w:pPr>
        <w:pStyle w:val="Heading2"/>
      </w:pPr>
      <w:r>
        <w:t>Digital abuse is part of the back-to-school picture</w:t>
      </w:r>
      <w:r/>
    </w:p>
    <w:p>
      <w:r/>
      <w:r>
        <w:t>For today's pupils, the school day doesn't necessarily end at the school gates. Group chats, social platforms and gaming spaces can carry friendship conflicts and harassment into bedrooms and weekends, making it difficult to find a genuine break.</w:t>
      </w:r>
      <w:r/>
    </w:p>
    <w:p>
      <w:r/>
      <w:r>
        <w:t>The foundation's discussion with Amanda Arella examines gendered digital abuse and the particular risks faced by young people online. Young women are especially likely to experience online abuse, while gender-diverse young people may face targeted hostility and technology-facilitated violence.</w:t>
      </w:r>
      <w:r/>
    </w:p>
    <w:p>
      <w:r/>
      <w:r>
        <w:t>Parents and carers can help by agreeing practical rules around privacy, blocking and reporting, while making clear that a young person won't be blamed for disclosing what happened. Saving screenshots, checking platform reporting tools and involving a trusted school or safeguarding professional can be useful when behaviour crosses a line.</w:t>
      </w:r>
      <w:r/>
    </w:p>
    <w:p>
      <w:pPr>
        <w:pStyle w:val="Heading2"/>
      </w:pPr>
      <w:r>
        <w:t>A useful guide for the adults doing the supporting</w:t>
      </w:r>
      <w:r/>
    </w:p>
    <w:p>
      <w:r/>
      <w:r>
        <w:t>Support is more sustainable when the adults providing it have guidance of their own. The Canadian Women’s Foundation offers a free online course, Who Cares? An ARAO Guide to Supporting Youth Mental Health, designed for youth workers supporting Black, Indigenous and 2SLGBTQIA+ young people.</w:t>
      </w:r>
      <w:r/>
    </w:p>
    <w:p>
      <w:r/>
      <w:r>
        <w:t>The course addresses both the needs of young people and the wellbeing of the workers around them. That is an important distinction: compassion can run out when staff are stretched, isolated or expected to carry complex situations without enough support.</w:t>
      </w:r>
      <w:r/>
    </w:p>
    <w:p>
      <w:r/>
      <w:r>
        <w:t>For families, the wider lesson is simple. Look for trusted resources, build a short list of supportive adults and agree what to do if worries become urgent. Preparation may not remove every difficult day, but it can make the next step feel less lonely.</w:t>
      </w:r>
      <w:r/>
    </w:p>
    <w:p>
      <w:pPr>
        <w:pStyle w:val="Heading2"/>
      </w:pPr>
      <w:r>
        <w:t>How to use these resources at home</w:t>
      </w:r>
      <w:r/>
    </w:p>
    <w:p>
      <w:r/>
      <w:r>
        <w:t>Start with the format that suits your household. A podcast may work during a school run, while a short article could be easier to share with a teenager who doesn't want a formal conversation. Youth workers and educators may find the course more useful for group planning and staff development.</w:t>
      </w:r>
      <w:r/>
    </w:p>
    <w:p>
      <w:r/>
      <w:r>
        <w:t>Keep the first conversation low-pressure. Try asking, "What are you looking forward to least?" or "What would make the first week easier?" Then listen for practical concerns, such as friendship changes, workload, bullying, identity or online conflict.</w:t>
      </w:r>
      <w:r/>
    </w:p>
    <w:p>
      <w:r/>
      <w:r>
        <w:t>If a young person talks about feeling unsafe, hopeless or unable to cope, take it seriously and contact an appropriate health, school or crisis service. The best support is warm, steady and specific, with professional help brought in when the situation calls for it.</w:t>
      </w:r>
      <w:r/>
    </w:p>
    <w:p>
      <w:r/>
      <w:r>
        <w:t>A thoughtful back-to-school plan includes emotional safety as well as stationery.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2">
        <w:r>
          <w:rPr>
            <w:color w:val="0000EE"/>
            <w:u w:val="single"/>
          </w:rPr>
          <w:t>[3]</w:t>
        </w:r>
      </w:hyperlink>
      <w:r>
        <w:t xml:space="preserve">- Paragraph 9: </w:t>
      </w:r>
      <w:hyperlink r:id="rId9">
        <w:r>
          <w:rPr>
            <w:color w:val="0000EE"/>
            <w:u w:val="single"/>
          </w:rPr>
          <w:t>[1]</w:t>
        </w:r>
      </w:hyperlink>
      <w:r>
        <w:t xml:space="preserve">, </w:t>
      </w:r>
      <w:hyperlink r:id="rId11">
        <w:r>
          <w:rPr>
            <w:color w:val="0000EE"/>
            <w:u w:val="single"/>
          </w:rPr>
          <w:t>[4]</w:t>
        </w:r>
      </w:hyperlink>
      <w:r>
        <w:t xml:space="preserve">- Paragraph 10: </w:t>
      </w:r>
      <w:hyperlink r:id="rId9">
        <w:r>
          <w:rPr>
            <w:color w:val="0000EE"/>
            <w:u w:val="single"/>
          </w:rPr>
          <w:t>[1]</w:t>
        </w:r>
      </w:hyperlink>
      <w:r>
        <w:t xml:space="preserve">, </w:t>
      </w:r>
      <w:hyperlink r:id="rId12">
        <w:r>
          <w:rPr>
            <w:color w:val="0000EE"/>
            <w:u w:val="single"/>
          </w:rPr>
          <w:t>[3]</w:t>
        </w:r>
      </w:hyperlink>
      <w:r>
        <w:t xml:space="preserve">- Paragraph 11: </w:t>
      </w:r>
      <w:hyperlink r:id="rId9">
        <w:r>
          <w:rPr>
            <w:color w:val="0000EE"/>
            <w:u w:val="single"/>
          </w:rPr>
          <w:t>[1]</w:t>
        </w:r>
      </w:hyperlink>
      <w:r>
        <w:t xml:space="preserve">, </w:t>
      </w:r>
      <w:hyperlink r:id="rId14">
        <w:r>
          <w:rPr>
            <w:color w:val="0000EE"/>
            <w:u w:val="single"/>
          </w:rPr>
          <w:t>[7]</w:t>
        </w:r>
      </w:hyperlink>
      <w:r>
        <w:t xml:space="preserve">- Paragraph 12: </w:t>
      </w:r>
      <w:hyperlink r:id="rId9">
        <w:r>
          <w:rPr>
            <w:color w:val="0000EE"/>
            <w:u w:val="single"/>
          </w:rPr>
          <w:t>[1]</w:t>
        </w:r>
      </w:hyperlink>
      <w:r>
        <w:t xml:space="preserve">, </w:t>
      </w:r>
      <w:hyperlink r:id="rId14">
        <w:r>
          <w:rPr>
            <w:color w:val="0000EE"/>
            <w:u w:val="single"/>
          </w:rPr>
          <w:t>[7]</w:t>
        </w:r>
      </w:hyperlink>
      <w:r>
        <w:t xml:space="preserve">- Paragraph 13: </w:t>
      </w:r>
      <w:hyperlink r:id="rId9">
        <w:r>
          <w:rPr>
            <w:color w:val="0000EE"/>
            <w:u w:val="single"/>
          </w:rPr>
          <w:t>[1]</w:t>
        </w:r>
      </w:hyperlink>
      <w:r>
        <w:t xml:space="preserve">, </w:t>
      </w:r>
      <w:hyperlink r:id="rId11">
        <w:r>
          <w:rPr>
            <w:color w:val="0000EE"/>
            <w:u w:val="single"/>
          </w:rPr>
          <w:t>[4]</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[1]</w:t>
        </w:r>
      </w:hyperlink>
      <w:r>
        <w:t xml:space="preserve">, </w:t>
      </w:r>
      <w:hyperlink r:id="rId10">
        <w:r>
          <w:rPr>
            <w:color w:val="0000EE"/>
            <w:u w:val="single"/>
          </w:rPr>
          <w:t>[2]</w:t>
        </w:r>
      </w:hyperlink>
      <w:r>
        <w:t xml:space="preserve">- Paragraph 16: </w:t>
      </w:r>
      <w:hyperlink r:id="rId9">
        <w:r>
          <w:rPr>
            <w:color w:val="0000EE"/>
            <w:u w:val="single"/>
          </w:rPr>
          <w:t>[1]</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t xml:space="preserve">- Paragraph 18: </w:t>
      </w:r>
      <w:hyperlink r:id="rId9">
        <w:r>
          <w:rPr>
            <w:color w:val="0000EE"/>
            <w:u w:val="single"/>
          </w:rPr>
          <w:t>[1]</w:t>
        </w:r>
      </w:hyperlink>
      <w:r>
        <w:t xml:space="preserve">, </w:t>
      </w:r>
      <w:hyperlink r:id="rId14">
        <w:r>
          <w:rPr>
            <w:color w:val="0000EE"/>
            <w:u w:val="single"/>
          </w:rPr>
          <w:t>[7]</w:t>
        </w:r>
      </w:hyperlink>
      <w:r>
        <w:t xml:space="preserve">- Paragraph 19: </w:t>
      </w:r>
      <w:hyperlink r:id="rId9">
        <w:r>
          <w:rPr>
            <w:color w:val="0000EE"/>
            <w:u w:val="single"/>
          </w:rPr>
          <w:t>[1]</w:t>
        </w:r>
      </w:hyperlink>
      <w:r>
        <w:t xml:space="preserve">, </w:t>
      </w:r>
      <w:hyperlink r:id="rId10">
        <w:r>
          <w:rPr>
            <w:color w:val="0000EE"/>
            <w:u w:val="single"/>
          </w:rPr>
          <w:t>[2]</w:t>
        </w:r>
      </w:hyperlink>
      <w:r>
        <w:t xml:space="preserve">- Paragraph 20: </w:t>
      </w:r>
      <w:hyperlink r:id="rId9">
        <w:r>
          <w:rPr>
            <w:color w:val="0000EE"/>
            <w:u w:val="single"/>
          </w:rPr>
          <w:t>[1]</w:t>
        </w:r>
      </w:hyperlink>
      <w:r>
        <w:t xml:space="preserve">, </w:t>
      </w:r>
      <w:hyperlink r:id="rId12">
        <w:r>
          <w:rPr>
            <w:color w:val="0000EE"/>
            <w:u w:val="single"/>
          </w:rPr>
          <w:t>[3]</w:t>
        </w:r>
      </w:hyperlink>
      <w:r>
        <w:t xml:space="preserve">- Paragraph 21: </w:t>
      </w:r>
      <w:hyperlink r:id="rId10">
        <w:r>
          <w:rPr>
            <w:color w:val="0000EE"/>
            <w:u w:val="single"/>
          </w:rPr>
          <w:t>[2]</w:t>
        </w:r>
      </w:hyperlink>
      <w:r>
        <w:t xml:space="preserve">, </w:t>
      </w:r>
      <w:hyperlink r:id="rId11">
        <w:r>
          <w:rPr>
            <w:color w:val="0000EE"/>
            <w:u w:val="single"/>
          </w:rPr>
          <w:t>[4]</w:t>
        </w:r>
      </w:hyperlink>
      <w:r>
        <w:t xml:space="preserve">- Paragraph 22: </w:t>
      </w:r>
      <w:hyperlink r:id="rId9">
        <w:r>
          <w:rPr>
            <w:color w:val="0000EE"/>
            <w:u w:val="single"/>
          </w:rPr>
          <w:t>[1]</w:t>
        </w:r>
      </w:hyperlink>
      <w:r>
        <w:t xml:space="preserve">, </w:t>
      </w:r>
      <w:hyperlink r:id="rId13">
        <w:r>
          <w:rPr>
            <w:color w:val="0000EE"/>
            <w:u w:val="single"/>
          </w:rPr>
          <w:t>[6]</w:t>
        </w:r>
      </w:hyperlink>
      <w:r>
        <w:t xml:space="preserve">- Paragraph 23: </w:t>
      </w:r>
      <w:hyperlink r:id="rId9">
        <w:r>
          <w:rPr>
            <w:color w:val="0000EE"/>
            <w:u w:val="single"/>
          </w:rPr>
          <w:t>[1]</w:t>
        </w:r>
      </w:hyperlink>
      <w:r>
        <w:t xml:space="preserve">, </w:t>
      </w:r>
      <w:hyperlink r:id="rId12">
        <w:r>
          <w:rPr>
            <w:color w:val="0000EE"/>
            <w:u w:val="single"/>
          </w:rPr>
          <w:t>[3]</w:t>
        </w:r>
      </w:hyperlink>
      <w:r>
        <w:t xml:space="preserve">- Paragraph 24: </w:t>
      </w:r>
      <w:hyperlink r:id="rId9">
        <w:r>
          <w:rPr>
            <w:color w:val="0000EE"/>
            <w:u w:val="single"/>
          </w:rPr>
          <w:t>[1]</w:t>
        </w:r>
      </w:hyperlink>
      <w:r>
        <w:t xml:space="preserve">, </w:t>
      </w:r>
      <w:hyperlink r:id="rId11">
        <w:r>
          <w:rPr>
            <w:color w:val="0000EE"/>
            <w:u w:val="single"/>
          </w:rPr>
          <w:t>[4]</w:t>
        </w:r>
      </w:hyperlink>
      <w:r>
        <w:t xml:space="preserve">- Paragraph 25: </w:t>
      </w:r>
      <w:hyperlink r:id="rId9">
        <w:r>
          <w:rPr>
            <w:color w:val="0000EE"/>
            <w:u w:val="single"/>
          </w:rPr>
          <w:t>[1]</w:t>
        </w:r>
      </w:hyperlink>
      <w:r>
        <w:t xml:space="preserve">, </w:t>
      </w:r>
      <w:hyperlink r:id="rId13">
        <w:r>
          <w:rPr>
            <w:color w:val="0000EE"/>
            <w:u w:val="single"/>
          </w:rPr>
          <w:t>[6]</w:t>
        </w:r>
      </w:hyperlink>
      <w:r>
        <w:t xml:space="preserve">- Paragraph 26: </w:t>
      </w:r>
      <w:hyperlink r:id="rId9">
        <w:r>
          <w:rPr>
            <w:color w:val="0000EE"/>
            <w:u w:val="single"/>
          </w:rPr>
          <w:t>[1]</w:t>
        </w:r>
      </w:hyperlink>
      <w:r>
        <w:t xml:space="preserve">, </w:t>
      </w:r>
      <w:hyperlink r:id="rId14">
        <w:r>
          <w:rPr>
            <w:color w:val="0000EE"/>
            <w:u w:val="single"/>
          </w:rPr>
          <w:t>[7]</w:t>
        </w:r>
      </w:hyperlink>
      <w:r>
        <w:t xml:space="preserve">- Paragraph 27: </w:t>
      </w:r>
      <w:hyperlink r:id="rId9">
        <w:r>
          <w:rPr>
            <w:color w:val="0000EE"/>
            <w:u w:val="single"/>
          </w:rPr>
          <w:t>[1]</w:t>
        </w:r>
      </w:hyperlink>
      <w:r>
        <w:t xml:space="preserve">, </w:t>
      </w:r>
      <w:hyperlink r:id="rId11">
        <w:r>
          <w:rPr>
            <w:color w:val="0000EE"/>
            <w:u w:val="single"/>
          </w:rPr>
          <w:t>[4]</w:t>
        </w:r>
      </w:hyperlink>
      <w:r>
        <w:t xml:space="preserve">- Paragraph 28: </w:t>
      </w:r>
      <w:hyperlink r:id="rId9">
        <w:r>
          <w:rPr>
            <w:color w:val="0000EE"/>
            <w:u w:val="single"/>
          </w:rPr>
          <w:t>[1]</w:t>
        </w:r>
      </w:hyperlink>
      <w:r>
        <w:t xml:space="preserve">, </w:t>
      </w:r>
      <w:hyperlink r:id="rId10">
        <w:r>
          <w:rPr>
            <w:color w:val="0000EE"/>
            <w:u w:val="single"/>
          </w:rPr>
          <w:t>[2]</w:t>
        </w:r>
      </w:hyperlink>
      <w:r>
        <w:t xml:space="preserve">- Paragraph 29: </w:t>
      </w:r>
      <w:hyperlink r:id="rId9">
        <w:r>
          <w:rPr>
            <w:color w:val="0000EE"/>
            <w:u w:val="single"/>
          </w:rPr>
          <w:t>[1]</w:t>
        </w:r>
      </w:hyperlink>
      <w:r>
        <w:t xml:space="preserve">, </w:t>
      </w:r>
      <w:hyperlink r:id="rId12">
        <w:r>
          <w:rPr>
            <w:color w:val="0000EE"/>
            <w:u w:val="single"/>
          </w:rPr>
          <w:t>[3]</w:t>
        </w:r>
      </w:hyperlink>
      <w:r>
        <w:t xml:space="preserve">- Paragraph 30: </w:t>
      </w:r>
      <w:hyperlink r:id="rId11">
        <w:r>
          <w:rPr>
            <w:color w:val="0000EE"/>
            <w:u w:val="single"/>
          </w:rPr>
          <w:t>[4]</w:t>
        </w:r>
      </w:hyperlink>
      <w:r>
        <w:t xml:space="preserve">, </w:t>
      </w:r>
      <w:hyperlink r:id="rId13">
        <w:r>
          <w:rPr>
            <w:color w:val="0000EE"/>
            <w:u w:val="single"/>
          </w:rPr>
          <w:t>[6]</w:t>
        </w:r>
      </w:hyperlink>
      <w:r>
        <w:t xml:space="preserve">- Paragraph 31: </w:t>
      </w:r>
      <w:hyperlink r:id="rId9">
        <w:r>
          <w:rPr>
            <w:color w:val="0000EE"/>
            <w:u w:val="single"/>
          </w:rPr>
          <w:t>[1]</w:t>
        </w:r>
      </w:hyperlink>
      <w:r>
        <w:t xml:space="preserve">, </w:t>
      </w:r>
      <w:hyperlink r:id="rId14">
        <w:r>
          <w:rPr>
            <w:color w:val="0000EE"/>
            <w:u w:val="single"/>
          </w:rPr>
          <w:t>[7]</w:t>
        </w:r>
      </w:hyperlink>
      <w:r>
        <w:t xml:space="preserve">- Paragraph 32: </w:t>
      </w:r>
      <w:hyperlink r:id="rId9">
        <w:r>
          <w:rPr>
            <w:color w:val="0000EE"/>
            <w:u w:val="single"/>
          </w:rPr>
          <w:t>[1]</w:t>
        </w:r>
      </w:hyperlink>
      <w:r>
        <w:t xml:space="preserve">, </w:t>
      </w:r>
      <w:hyperlink r:id="rId10">
        <w:r>
          <w:rPr>
            <w:color w:val="0000EE"/>
            <w:u w:val="single"/>
          </w:rPr>
          <w:t>[2]</w:t>
        </w:r>
      </w:hyperlink>
      <w:r>
        <w:t xml:space="preserve">- Paragraph 33: </w:t>
      </w:r>
      <w:hyperlink r:id="rId9">
        <w:r>
          <w:rPr>
            <w:color w:val="0000EE"/>
            <w:u w:val="single"/>
          </w:rPr>
          <w:t>[1]</w:t>
        </w:r>
      </w:hyperlink>
      <w:r>
        <w:t xml:space="preserve">, </w:t>
      </w:r>
      <w:hyperlink r:id="rId12">
        <w:r>
          <w:rPr>
            <w:color w:val="0000EE"/>
            <w:u w:val="single"/>
          </w:rPr>
          <w:t>[3]</w:t>
        </w:r>
      </w:hyperlink>
      <w:r>
        <w:t xml:space="preserve">- Paragraph 34: </w:t>
      </w:r>
      <w:hyperlink r:id="rId11">
        <w:r>
          <w:rPr>
            <w:color w:val="0000EE"/>
            <w:u w:val="single"/>
          </w:rPr>
          <w:t>[4]</w:t>
        </w:r>
      </w:hyperlink>
      <w:r>
        <w:t xml:space="preserve">, </w:t>
      </w:r>
      <w:hyperlink r:id="rId13">
        <w:r>
          <w:rPr>
            <w:color w:val="0000EE"/>
            <w:u w:val="single"/>
          </w:rPr>
          <w:t>[6]</w:t>
        </w:r>
      </w:hyperlink>
      <w:r>
        <w:t xml:space="preserve">- Paragraph 35: </w:t>
      </w:r>
      <w:hyperlink r:id="rId9">
        <w:r>
          <w:rPr>
            <w:color w:val="0000EE"/>
            <w:u w:val="single"/>
          </w:rPr>
          <w:t>[1]</w:t>
        </w:r>
      </w:hyperlink>
      <w:r>
        <w:t xml:space="preserve">, </w:t>
      </w:r>
      <w:hyperlink r:id="rId10">
        <w:r>
          <w:rPr>
            <w:color w:val="0000EE"/>
            <w:u w:val="single"/>
          </w:rPr>
          <w:t>[2]</w:t>
        </w:r>
      </w:hyperlink>
      <w:r>
        <w:t xml:space="preserve">- Paragraph 36: </w:t>
      </w:r>
      <w:hyperlink r:id="rId9">
        <w:r>
          <w:rPr>
            <w:color w:val="0000EE"/>
            <w:u w:val="single"/>
          </w:rPr>
          <w:t>[1]</w:t>
        </w:r>
      </w:hyperlink>
      <w:r>
        <w:t xml:space="preserve">, </w:t>
      </w:r>
      <w:hyperlink r:id="rId12">
        <w:r>
          <w:rPr>
            <w:color w:val="0000EE"/>
            <w:u w:val="single"/>
          </w:rPr>
          <w:t>[3]</w:t>
        </w:r>
      </w:hyperlink>
      <w:r>
        <w:t xml:space="preserve">- Paragraph 37: </w:t>
      </w:r>
      <w:hyperlink r:id="rId9">
        <w:r>
          <w:rPr>
            <w:color w:val="0000EE"/>
            <w:u w:val="single"/>
          </w:rPr>
          <w:t>[1]</w:t>
        </w:r>
      </w:hyperlink>
      <w:r>
        <w:t xml:space="preserve">, </w:t>
      </w:r>
      <w:hyperlink r:id="rId11">
        <w:r>
          <w:rPr>
            <w:color w:val="0000EE"/>
            <w:u w:val="single"/>
          </w:rPr>
          <w:t>[4]</w:t>
        </w:r>
      </w:hyperlink>
      <w:r>
        <w:t xml:space="preserve">- Paragraph 38: </w:t>
      </w:r>
      <w:hyperlink r:id="rId9">
        <w:r>
          <w:rPr>
            <w:color w:val="0000EE"/>
            <w:u w:val="single"/>
          </w:rPr>
          <w:t>[1]</w:t>
        </w:r>
      </w:hyperlink>
      <w:r>
        <w:t xml:space="preserve">, </w:t>
      </w:r>
      <w:hyperlink r:id="rId13">
        <w:r>
          <w:rPr>
            <w:color w:val="0000EE"/>
            <w:u w:val="single"/>
          </w:rPr>
          <w:t>[6]</w:t>
        </w:r>
      </w:hyperlink>
      <w:r>
        <w:t xml:space="preserve">- Paragraph 39: </w:t>
      </w:r>
      <w:hyperlink r:id="rId9">
        <w:r>
          <w:rPr>
            <w:color w:val="0000EE"/>
            <w:u w:val="single"/>
          </w:rPr>
          <w:t>[1]</w:t>
        </w:r>
      </w:hyperlink>
      <w:r>
        <w:t xml:space="preserve">, </w:t>
      </w:r>
      <w:hyperlink r:id="rId10">
        <w:r>
          <w:rPr>
            <w:color w:val="0000EE"/>
            <w:u w:val="single"/>
          </w:rPr>
          <w:t>[2]</w:t>
        </w:r>
      </w:hyperlink>
      <w:r>
        <w:t xml:space="preserve">- Paragraph 40: </w:t>
      </w:r>
      <w:hyperlink r:id="rId9">
        <w:r>
          <w:rPr>
            <w:color w:val="0000EE"/>
            <w:u w:val="single"/>
          </w:rPr>
          <w:t>[1]</w:t>
        </w:r>
      </w:hyperlink>
      <w:r>
        <w:t xml:space="preserve">, </w:t>
      </w:r>
      <w:hyperlink r:id="rId12">
        <w:r>
          <w:rPr>
            <w:color w:val="0000EE"/>
            <w:u w:val="single"/>
          </w:rPr>
          <w:t>[3]</w:t>
        </w:r>
      </w:hyperlink>
      <w:r>
        <w:t xml:space="preserve">- Paragraph 41: </w:t>
      </w:r>
      <w:hyperlink r:id="rId9">
        <w:r>
          <w:rPr>
            <w:color w:val="0000EE"/>
            <w:u w:val="single"/>
          </w:rPr>
          <w:t>[1]</w:t>
        </w:r>
      </w:hyperlink>
      <w:r>
        <w:t xml:space="preserve">, </w:t>
      </w:r>
      <w:hyperlink r:id="rId11">
        <w:r>
          <w:rPr>
            <w:color w:val="0000EE"/>
            <w:u w:val="single"/>
          </w:rPr>
          <w:t>[4]</w:t>
        </w:r>
      </w:hyperlink>
      <w:r>
        <w:t xml:space="preserve">- Paragraph 42: </w:t>
      </w:r>
      <w:hyperlink r:id="rId9">
        <w:r>
          <w:rPr>
            <w:color w:val="0000EE"/>
            <w:u w:val="single"/>
          </w:rPr>
          <w:t>[1]</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https://canadianwomen.org/blog/resources-for-back-to-school/</w:t>
        </w:r>
      </w:hyperlink>
      <w:r>
        <w:t xml:space="preserve"> - Please view link - unable to able to access data</w:t>
      </w:r>
      <w:r/>
    </w:p>
    <w:p>
      <w:pPr>
        <w:pStyle w:val="ListNumber"/>
        <w:spacing w:line="240" w:lineRule="auto"/>
        <w:ind w:left="720"/>
      </w:pPr>
      <w:r/>
      <w:hyperlink r:id="rId10">
        <w:r>
          <w:rPr>
            <w:color w:val="0000EE"/>
            <w:u w:val="single"/>
          </w:rPr>
          <w:t>https://canadianwomen.org/blog/back-to-school-interrupted-with-taylor-meissner/</w:t>
        </w:r>
      </w:hyperlink>
      <w:r>
        <w:t xml:space="preserve"> - In this podcast episode, Taylor Meissner, a Registered Social Worker with a Master of Social Work from the University of Toronto, discusses strategies for supporting girls and gender-diverse youth during the back-to-school transition. She highlights the unique challenges these young people face, including social media pressures, hyper-sexualization, stereotyping, toxic masculinity, bullying, and climate anxiety. Meissner emphasizes the importance of caring adults in fostering improved youth mental health, confidence, and healthy relationships. She also provides counselling in private practice at Intersections Collective, primarily working with 2SLGBTQ+ adults and youth.</w:t>
      </w:r>
      <w:r/>
    </w:p>
    <w:p>
      <w:pPr>
        <w:pStyle w:val="ListNumber"/>
        <w:spacing w:line="240" w:lineRule="auto"/>
        <w:ind w:left="720"/>
      </w:pPr>
      <w:r/>
      <w:hyperlink r:id="rId12">
        <w:r>
          <w:rPr>
            <w:color w:val="0000EE"/>
            <w:u w:val="single"/>
          </w:rPr>
          <w:t>https://canadianwomen.org/blog/back-to-school-interrupted-part-2-with-dr-stacey-belanger/</w:t>
        </w:r>
      </w:hyperlink>
      <w:r>
        <w:t xml:space="preserve"> - Dr. Stacey Bélanger, a pediatrician at CHU Sainte-Justine Hospital in Montréal and a member of the Mental Health Task Force at the Canadian Pediatric Society, discusses the mental health challenges faced by girls and gender-diverse youth during the back-to-school season. She highlights the decline in mental health among young people aged 12 to 17 since 2015, with a more pronounced decline among young women. Dr. Bélanger also addresses the disparities in mental health care access for children and youth who are recent immigrants, refugees, racialized, or from rural and remote communities.</w:t>
      </w:r>
      <w:r/>
    </w:p>
    <w:p>
      <w:pPr>
        <w:pStyle w:val="ListNumber"/>
        <w:spacing w:line="240" w:lineRule="auto"/>
        <w:ind w:left="720"/>
      </w:pPr>
      <w:r/>
      <w:hyperlink r:id="rId11">
        <w:r>
          <w:rPr>
            <w:color w:val="0000EE"/>
            <w:u w:val="single"/>
          </w:rPr>
          <w:t>https://www.kidsmentalhealthfoundation.org/back-to-school</w:t>
        </w:r>
      </w:hyperlink>
      <w:r>
        <w:t xml:space="preserve"> - The Kids Mental Health Foundation offers a comprehensive suite of resources to support children's mental health during the back-to-school period. Their 'Start Strong, Strong Year' initiative provides practical, expert-backed strategies to help children navigate the transition with confidence. The foundation offers free on-demand webinars featuring pediatric psychology experts, as well as articles and activities designed to assist parents, caregivers, teachers, and coaches in fostering a supportive environment for children's mental well-being.</w:t>
      </w:r>
      <w:r/>
    </w:p>
    <w:p>
      <w:pPr>
        <w:pStyle w:val="ListNumber"/>
        <w:spacing w:line="240" w:lineRule="auto"/>
        <w:ind w:left="720"/>
      </w:pPr>
      <w:r/>
      <w:hyperlink r:id="rId15">
        <w:r>
          <w:rPr>
            <w:color w:val="0000EE"/>
            <w:u w:val="single"/>
          </w:rPr>
          <w:t>https://www.editions-chu-sainte-justine.org/livres/trouble-deficit-attention-avec-sans-hyperactivite-359.html</w:t>
        </w:r>
      </w:hyperlink>
      <w:r>
        <w:t xml:space="preserve"> - This book, authored by Dr. Stacey Bélanger, provides a multidisciplinary approach to understanding Attention Deficit Hyperactivity Disorder (ADHD). It offers detailed descriptions of symptoms and their impacts on learning, as well as on family and social relationships. The book also presents various treatments, including medical, educational, behavioral, and social interventions, and provides tools to better understand and manage daily life with ADHD.</w:t>
      </w:r>
      <w:r/>
    </w:p>
    <w:p>
      <w:pPr>
        <w:pStyle w:val="ListNumber"/>
        <w:spacing w:line="240" w:lineRule="auto"/>
        <w:ind w:left="720"/>
      </w:pPr>
      <w:r/>
      <w:hyperlink r:id="rId13">
        <w:r>
          <w:rPr>
            <w:color w:val="0000EE"/>
            <w:u w:val="single"/>
          </w:rPr>
          <w:t>https://www.massgeneralbrigham.org/en/health-wellness/back-to-school-anxiety</w:t>
        </w:r>
      </w:hyperlink>
      <w:r>
        <w:t xml:space="preserve"> - Mass General Brigham addresses the common issue of back-to-school anxiety among children. Dr. Khadijah Booth Watkins, a psychiatrist and associate director of The Clay Center for Young Healthy Minds at Massachusetts General Hospital, shares insights into the signs of back-to-school jitters and offers tips for parents to help their children manage anxiety related to returning to school. The article emphasizes the importance of understanding and addressing children's concerns to ensure a smooth transition back to school.</w:t>
      </w:r>
      <w:r/>
    </w:p>
    <w:p>
      <w:pPr>
        <w:pStyle w:val="ListNumber"/>
        <w:spacing w:line="240" w:lineRule="auto"/>
        <w:ind w:left="720"/>
      </w:pPr>
      <w:r/>
      <w:hyperlink r:id="rId14">
        <w:r>
          <w:rPr>
            <w:color w:val="0000EE"/>
            <w:u w:val="single"/>
          </w:rPr>
          <w:t>https://www.fondationstejustine.org/en/about-us/annual-reports-and-financial-statements/annual-report-2023-2024/</w:t>
        </w:r>
      </w:hyperlink>
      <w:r>
        <w:t xml:space="preserve"> - The CHU Sainte-Justine Foundation's 2023–2024 Annual Report highlights the development of a learning and knowledge-sharing hub aimed at providing youth-focused mental health clinicians and professionals across Quebec with direct access to CHU Sainte-Justine’s child psychiatry teams. This mutual aid network aims to strengthen the capacity of frontline responders through coaching, webinars, a discussion forum, and an online library, bringing Sainte-Justine’s expertise to child psychiatrists across the province, including remote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nadianwomen.org/blog/resources-for-back-to-school/" TargetMode="External"/><Relationship Id="rId10" Type="http://schemas.openxmlformats.org/officeDocument/2006/relationships/hyperlink" Target="https://canadianwomen.org/blog/back-to-school-interrupted-with-taylor-meissner/" TargetMode="External"/><Relationship Id="rId11" Type="http://schemas.openxmlformats.org/officeDocument/2006/relationships/hyperlink" Target="https://www.kidsmentalhealthfoundation.org/back-to-school" TargetMode="External"/><Relationship Id="rId12" Type="http://schemas.openxmlformats.org/officeDocument/2006/relationships/hyperlink" Target="https://canadianwomen.org/blog/back-to-school-interrupted-part-2-with-dr-stacey-belanger/" TargetMode="External"/><Relationship Id="rId13" Type="http://schemas.openxmlformats.org/officeDocument/2006/relationships/hyperlink" Target="https://www.massgeneralbrigham.org/en/health-wellness/back-to-school-anxiety" TargetMode="External"/><Relationship Id="rId14" Type="http://schemas.openxmlformats.org/officeDocument/2006/relationships/hyperlink" Target="https://www.fondationstejustine.org/en/about-us/annual-reports-and-financial-statements/annual-report-2023-2024/" TargetMode="External"/><Relationship Id="rId15" Type="http://schemas.openxmlformats.org/officeDocument/2006/relationships/hyperlink" Target="https://www.editions-chu-sainte-justine.org/livres/trouble-deficit-attention-avec-sans-hyperactivite-35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