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Bisexual-Affirming Addiction Care Makes Recovery Safer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seeking addiction treatment can feel invisible when services assume everyone is straight, gay or lesbian. For bisexual adults, that gap matters: research links identity-based stress and erasure with higher substance-use risks, anxiety and depression. More inclusive, dual-diagnosis care offers a clearer route to recovery without asking anyone to edit who they are.</w:t>
      </w:r>
      <w:r/>
    </w:p>
    <w:p>
      <w:pPr>
        <w:pStyle w:val="Heading2"/>
      </w:pPr>
      <w:r>
        <w:t>Essential Takeaways</w:t>
      </w:r>
      <w:r/>
      <w:r/>
    </w:p>
    <w:p>
      <w:pPr>
        <w:pStyle w:val="ListBullet"/>
        <w:spacing w:line="240" w:lineRule="auto"/>
        <w:ind w:left="720"/>
      </w:pPr>
      <w:r/>
      <w:r>
        <w:rPr>
          <w:b/>
        </w:rPr>
        <w:t>Erasure has a cost:</w:t>
      </w:r>
      <w:r>
        <w:t xml:space="preserve"> Being told to “pick a side” can reinforce isolation and chronic stress.</w:t>
      </w:r>
      <w:r/>
    </w:p>
    <w:p>
      <w:pPr>
        <w:pStyle w:val="ListBullet"/>
        <w:spacing w:line="240" w:lineRule="auto"/>
        <w:ind w:left="720"/>
      </w:pPr>
      <w:r/>
      <w:r>
        <w:rPr>
          <w:b/>
        </w:rPr>
        <w:t>Risk is not identity:</w:t>
      </w:r>
      <w:r>
        <w:t xml:space="preserve"> Higher substance-use rates are linked to minority stress, not bisexuality itself.</w:t>
      </w:r>
      <w:r/>
    </w:p>
    <w:p>
      <w:pPr>
        <w:pStyle w:val="ListBullet"/>
        <w:spacing w:line="240" w:lineRule="auto"/>
        <w:ind w:left="720"/>
      </w:pPr>
      <w:r/>
      <w:r>
        <w:rPr>
          <w:b/>
        </w:rPr>
        <w:t>Mental health matters:</w:t>
      </w:r>
      <w:r>
        <w:t xml:space="preserve"> Anxiety and depression may sit alongside substance use and need treatment too.</w:t>
      </w:r>
      <w:r/>
    </w:p>
    <w:p>
      <w:pPr>
        <w:pStyle w:val="ListBullet"/>
        <w:spacing w:line="240" w:lineRule="auto"/>
        <w:ind w:left="720"/>
      </w:pPr>
      <w:r/>
      <w:r>
        <w:rPr>
          <w:b/>
        </w:rPr>
        <w:t>Small details reveal inclusion:</w:t>
      </w:r>
      <w:r>
        <w:t xml:space="preserve"> Partner-neutral language and flexible forms are useful signs of affirming care.</w:t>
      </w:r>
      <w:r/>
    </w:p>
    <w:p>
      <w:pPr>
        <w:pStyle w:val="ListBullet"/>
        <w:spacing w:line="240" w:lineRule="auto"/>
        <w:ind w:left="720"/>
      </w:pPr>
      <w:r/>
      <w:r>
        <w:rPr>
          <w:b/>
        </w:rPr>
        <w:t>The right setting helps:</w:t>
      </w:r>
      <w:r>
        <w:t xml:space="preserve"> Recovery works better when people aren't busy defending their identity.</w:t>
      </w:r>
      <w:r/>
      <w:r/>
    </w:p>
    <w:p>
      <w:pPr>
        <w:pStyle w:val="Heading2"/>
      </w:pPr>
      <w:r>
        <w:t>When treatment asks people to choose a side</w:t>
      </w:r>
      <w:r/>
    </w:p>
    <w:p>
      <w:r/>
      <w:r>
        <w:t>The harm of erasure is often quiet rather than dramatic. It can be a raised eyebrow, an intake form with no suitable option, or the assumption that someone's partner tells the whole story. Over time, those moments can leave a person feeling as though they must repeatedly prove something deeply personal.</w:t>
      </w:r>
      <w:r/>
    </w:p>
    <w:p>
      <w:r/>
      <w:r>
        <w:t>Research on bisexual health disparities shows that this is more than an irritating social habit. According to research published in LGBT Health, bisexual adults can experience distinct forms of minority stress, including rejection and pressure from both heterosexual and LGBTQ+ communities. That double bind can make belonging feel conditional, which is exhausting when someone is already trying to recover.</w:t>
      </w:r>
      <w:r/>
    </w:p>
    <w:p>
      <w:r/>
      <w:r>
        <w:t>The key point is simple: bisexuality isn't the problem. The stress created by invalidation, isolation and discrimination is where the risk lies.</w:t>
      </w:r>
      <w:r/>
    </w:p>
    <w:p>
      <w:pPr>
        <w:pStyle w:val="Heading2"/>
      </w:pPr>
      <w:r>
        <w:t>Why minority stress can increase substance-use risk</w:t>
      </w:r>
      <w:r/>
    </w:p>
    <w:p>
      <w:r/>
      <w:r>
        <w:t>Substances can become a form of short-term relief when someone feels watched, questioned or excluded. A drink may quiet the mental replay after another dismissive conversation, while drugs can seem to offer a temporary escape from anxiety or loneliness. The relief doesn't last, of course, but the brain remembers that it arrived quickly.</w:t>
      </w:r>
      <w:r/>
    </w:p>
    <w:p>
      <w:r/>
      <w:r>
        <w:t>Studies examining sexual orientation and substance use consistently report higher levels of alcohol and drug-related harm among sexual-minority adults than among heterosexual adults. Work indexed through the National Library of Medicine also highlights how minority stress, stigma and social conditions shape these outcomes.</w:t>
      </w:r>
      <w:r/>
    </w:p>
    <w:p>
      <w:r/>
      <w:r>
        <w:t>That context matters because blaming someone's identity misses the mechanism. Effective care needs to ask what the substance is doing for the person, what pressure surrounds them, and whether their support network genuinely feels safe.</w:t>
      </w:r>
      <w:r/>
    </w:p>
    <w:p>
      <w:pPr>
        <w:pStyle w:val="Heading2"/>
      </w:pPr>
      <w:r>
        <w:t>Anxiety and depression can tighten the loop</w:t>
      </w:r>
      <w:r/>
    </w:p>
    <w:p>
      <w:r/>
      <w:r>
        <w:t>Substance use rarely sits in a neat little box. Anxiety may make sleep difficult, depression may flatten motivation, and both can make social situations feel like hard work. Using a substance to manage one symptom can then intensify the others, creating a cycle that's difficult to break without proper support.</w:t>
      </w:r>
      <w:r/>
    </w:p>
    <w:p>
      <w:r/>
      <w:r>
        <w:t>Research in addiction and mental-health literature points to the importance of treating co-occurring conditions rather than focusing only on consumption. According to findings published in Drug and Alcohol Dependence, sexual-minority populations can face overlapping mental-health and substance-use disparities shaped by stress and discrimination.</w:t>
      </w:r>
      <w:r/>
    </w:p>
    <w:p>
      <w:r/>
      <w:r>
        <w:t>That's why dual-diagnosis care is so important. Therapy, medical support and recovery planning should address substance use alongside anxiety, depression, trauma or other concerns, rather than waiting for one problem to disappear before treating the next.</w:t>
      </w:r>
      <w:r/>
    </w:p>
    <w:p>
      <w:pPr>
        <w:pStyle w:val="Heading2"/>
      </w:pPr>
      <w:r>
        <w:t>The details that show whether a service is genuinely inclusive</w:t>
      </w:r>
      <w:r/>
    </w:p>
    <w:p>
      <w:r/>
      <w:r>
        <w:t>A programme doesn't become affirming simply by adding a rainbow logo to its website. The real test is often found in ordinary moments: how staff ask about relationships, whether forms allow self-description, and whether group discussions avoid treating one type of partnership as universal.</w:t>
      </w:r>
      <w:r/>
    </w:p>
    <w:p>
      <w:r/>
      <w:r>
        <w:t>A bisexual person shouldn't have to correct a therapist's assumptions before discussing cravings, trauma or relapse risk. Partner-neutral language is a small but meaningful start, while staff training and clear policies show whether inclusion is part of the service or just marketing decoration.</w:t>
      </w:r>
      <w:r/>
    </w:p>
    <w:p>
      <w:r/>
      <w:r>
        <w:t>Before choosing a provider, ask how it supports bisexual clients, whether clinicians understand minority stress, and how it treats co-occurring mental-health conditions. The answers can be revealing, especially if staff respond with specifics rather than vague promises.</w:t>
      </w:r>
      <w:r/>
    </w:p>
    <w:p>
      <w:pPr>
        <w:pStyle w:val="Heading2"/>
      </w:pPr>
      <w:r>
        <w:t>What a safer recovery plan can include</w:t>
      </w:r>
      <w:r/>
    </w:p>
    <w:p>
      <w:r/>
      <w:r>
        <w:t>Affirming treatment may combine evidence-based therapies with practical support around relationships, identity, trauma and community. Depending on the person's needs, that can include cognitive behavioural therapy, dialectical behaviour therapy, trauma-focused work, medication management, peer groups and continuing care after residential treatment.</w:t>
      </w:r>
      <w:r/>
    </w:p>
    <w:p>
      <w:r/>
      <w:r>
        <w:t>Research published in the Journal of LGBT Issues and related clinical journals supports a broader view of LGBTQ+ health, one that recognises how discrimination and social context affect treatment access and outcomes. That doesn't mean every bisexual client needs an LGBTQ+-specific programme, but it does mean services should be capable of seeing bisexuality accurately.</w:t>
      </w:r>
      <w:r/>
    </w:p>
    <w:p>
      <w:r/>
      <w:r>
        <w:t>Recovery should create room for the whole person, not demand a tidier version for administrative convenience. When someone no longer has to spend energy translating their identity, they can focus more fully on the difficult, hopeful work of healing.</w:t>
      </w:r>
      <w:r/>
    </w:p>
    <w:p>
      <w:r/>
      <w:r>
        <w:t>A more inclusive treatment room can make recovery feel possible, not performative.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1">
        <w:r>
          <w:rPr>
            <w:color w:val="0000EE"/>
            <w:u w:val="single"/>
          </w:rPr>
          <w:t>[3]</w:t>
        </w:r>
      </w:hyperlink>
      <w:r>
        <w:t xml:space="preserve">, </w:t>
      </w:r>
      <w:hyperlink r:id="rId14">
        <w:r>
          <w:rPr>
            <w:color w:val="0000EE"/>
            <w:u w:val="single"/>
          </w:rPr>
          <w:t>[5]</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5">
        <w:r>
          <w:rPr>
            <w:color w:val="0000EE"/>
            <w:u w:val="single"/>
          </w:rPr>
          <w:t>[6]</w:t>
        </w:r>
      </w:hyperlink>
      <w:r>
        <w:t xml:space="preserve">- Paragraph 7: </w:t>
      </w:r>
      <w:hyperlink r:id="rId14">
        <w:r>
          <w:rPr>
            <w:color w:val="0000EE"/>
            <w:u w:val="single"/>
          </w:rPr>
          <w:t>[5]</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5">
        <w:r>
          <w:rPr>
            <w:color w:val="0000EE"/>
            <w:u w:val="single"/>
          </w:rPr>
          <w:t>[6]</w:t>
        </w:r>
      </w:hyperlink>
      <w:r>
        <w:t xml:space="preserve">- Paragraph 10: </w:t>
      </w:r>
      <w:hyperlink r:id="rId11">
        <w:r>
          <w:rPr>
            <w:color w:val="0000EE"/>
            <w:u w:val="single"/>
          </w:rPr>
          <w:t>[3]</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3">
        <w:r>
          <w:rPr>
            <w:color w:val="0000EE"/>
            <w:u w:val="single"/>
          </w:rPr>
          <w:t>[7]</w:t>
        </w:r>
      </w:hyperlink>
      <w:r>
        <w:t xml:space="preserve">- Paragraph 12: </w:t>
      </w:r>
      <w:hyperlink r:id="rId12">
        <w:r>
          <w:rPr>
            <w:color w:val="0000EE"/>
            <w:u w:val="single"/>
          </w:rPr>
          <w:t>[4]</w:t>
        </w:r>
      </w:hyperlink>
      <w:r>
        <w:t xml:space="preserve">, </w:t>
      </w:r>
      <w:hyperlink r:id="rId15">
        <w:r>
          <w:rPr>
            <w:color w:val="0000EE"/>
            <w:u w:val="single"/>
          </w:rPr>
          <w:t>[6]</w:t>
        </w:r>
      </w:hyperlink>
      <w:r>
        <w:t xml:space="preserve">- Paragraph 13: </w:t>
      </w:r>
      <w:hyperlink r:id="rId11">
        <w:r>
          <w:rPr>
            <w:color w:val="0000EE"/>
            <w:u w:val="single"/>
          </w:rPr>
          <w:t>[3]</w:t>
        </w:r>
      </w:hyperlink>
      <w:r>
        <w:t xml:space="preserve">, </w:t>
      </w:r>
      <w:hyperlink r:id="rId14">
        <w:r>
          <w:rPr>
            <w:color w:val="0000EE"/>
            <w:u w:val="single"/>
          </w:rPr>
          <w:t>[5]</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4">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https://nomatterwhatrecovery.com/bisexual-adults-and-substance-use-why-erasure-makes-recovery-harder/</w:t>
        </w:r>
      </w:hyperlink>
      <w:r>
        <w:t xml:space="preserve"> - Please view link - unable to able to access data</w:t>
      </w:r>
      <w:r/>
    </w:p>
    <w:p>
      <w:pPr>
        <w:pStyle w:val="ListNumber"/>
        <w:spacing w:line="240" w:lineRule="auto"/>
        <w:ind w:left="720"/>
      </w:pPr>
      <w:r/>
      <w:hyperlink r:id="rId10">
        <w:r>
          <w:rPr>
            <w:color w:val="0000EE"/>
            <w:u w:val="single"/>
          </w:rPr>
          <w:t>https://link.springer.com/article/10.1007/s11930-023-00369-8</w:t>
        </w:r>
      </w:hyperlink>
      <w:r>
        <w:t xml:space="preserve"> - This article examines the urgent need to understand substance use disparities affecting bisexual individuals. It highlights calls from the National Institutes of Health (NIH) and the National Academy of Medicine (NAM) for research to identify risk factors for adverse health outcomes, including substance use behaviours, among bisexual people. The study underscores the importance of addressing these disparities to improve health outcomes for bisexual individuals.</w:t>
      </w:r>
      <w:r/>
    </w:p>
    <w:p>
      <w:pPr>
        <w:pStyle w:val="ListNumber"/>
        <w:spacing w:line="240" w:lineRule="auto"/>
        <w:ind w:left="720"/>
      </w:pPr>
      <w:r/>
      <w:hyperlink r:id="rId11">
        <w:r>
          <w:rPr>
            <w:color w:val="0000EE"/>
            <w:u w:val="single"/>
          </w:rPr>
          <w:t>https://pmc.ncbi.nlm.nih.gov/articles/PMC6980764/</w:t>
        </w:r>
      </w:hyperlink>
      <w:r>
        <w:t xml:space="preserve"> - This study investigates substance use disparities among sexual minority groups, focusing on bisexual women. It finds that bisexual women have significantly higher rates of binge drinking, marijuana use, illicit drug use, opioid misuse, and alcohol use disorder compared to lesbian/gay women. The research suggests that unique risk factors experienced by bisexual individuals, particularly bisexual women, may contribute to these elevated substance use behaviours.</w:t>
      </w:r>
      <w:r/>
    </w:p>
    <w:p>
      <w:pPr>
        <w:pStyle w:val="ListNumber"/>
        <w:spacing w:line="240" w:lineRule="auto"/>
        <w:ind w:left="720"/>
      </w:pPr>
      <w:r/>
      <w:hyperlink r:id="rId12">
        <w:r>
          <w:rPr>
            <w:color w:val="0000EE"/>
            <w:u w:val="single"/>
          </w:rPr>
          <w:t>https://journals.sagepub.com/doi/abs/10.1089/lgbt.2018.0125</w:t>
        </w:r>
      </w:hyperlink>
      <w:r>
        <w:t xml:space="preserve"> - This research examines differences in substance use disparities across age groups among lesbian, gay, and bisexual adults. Using national survey data, it finds that bisexual adults have elevated rates of substance use compared to heterosexual adults, with variations across age groups. The study highlights the need for targeted interventions to address these disparities within specific age demographics.</w:t>
      </w:r>
      <w:r/>
    </w:p>
    <w:p>
      <w:pPr>
        <w:pStyle w:val="ListNumber"/>
        <w:spacing w:line="240" w:lineRule="auto"/>
        <w:ind w:left="720"/>
      </w:pPr>
      <w:r/>
      <w:hyperlink r:id="rId14">
        <w:r>
          <w:rPr>
            <w:color w:val="0000EE"/>
            <w:u w:val="single"/>
          </w:rPr>
          <w:t>https://www.sciencedirect.com/science/article/pii/S0306460322003057</w:t>
        </w:r>
      </w:hyperlink>
      <w:r>
        <w:t xml:space="preserve"> - This study explores age-related patterns of cocaine and methamphetamine use across the life course in the United States, focusing on disparities by gender and sexual identity. It finds that bisexual adults report higher use of these substances than non-bisexual adults, with differences varying by age and sexual identity. The research suggests that lesbian, gay, and bisexual adults may be at higher risk for stimulant use throughout the life course.</w:t>
      </w:r>
      <w:r/>
    </w:p>
    <w:p>
      <w:pPr>
        <w:pStyle w:val="ListNumber"/>
        <w:spacing w:line="240" w:lineRule="auto"/>
        <w:ind w:left="720"/>
      </w:pPr>
      <w:r/>
      <w:hyperlink r:id="rId15">
        <w:r>
          <w:rPr>
            <w:color w:val="0000EE"/>
            <w:u w:val="single"/>
          </w:rPr>
          <w:t>https://www.sciencedirect.com/science/article/pii/S2352853224000488</w:t>
        </w:r>
      </w:hyperlink>
      <w:r>
        <w:t xml:space="preserve"> - This article investigates tobacco, cannabis, alcohol, and polysubstance use disparities among sexual identity groups of US young adult women and men. It finds that bisexual women are at risk for tobacco, cannabis, and alcohol polysubstance use, while bisexual and gay men are at lower risk for polysubstance use. The study suggests that substance use interventions for bisexual women should consider co-use patterns.</w:t>
      </w:r>
      <w:r/>
    </w:p>
    <w:p>
      <w:pPr>
        <w:pStyle w:val="ListNumber"/>
        <w:spacing w:line="240" w:lineRule="auto"/>
        <w:ind w:left="720"/>
      </w:pPr>
      <w:r/>
      <w:hyperlink r:id="rId13">
        <w:r>
          <w:rPr>
            <w:color w:val="0000EE"/>
            <w:u w:val="single"/>
          </w:rPr>
          <w:t>https://journals.sagepub.com/doi/full/10.1089/lgbt.2018.0207</w:t>
        </w:r>
      </w:hyperlink>
      <w:r>
        <w:t xml:space="preserve"> - This study provides recent prevalence estimates of major depression and alcohol and illicit drug abuse or dependence among sexual minority adults. It finds that bisexual adults face an increased burden across all outcomes compared with other sexual minority adults. The research highlights the need for targeted mental health and substance use interventions for bisexual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matterwhatrecovery.com/bisexual-adults-and-substance-use-why-erasure-makes-recovery-harder/" TargetMode="External"/><Relationship Id="rId10" Type="http://schemas.openxmlformats.org/officeDocument/2006/relationships/hyperlink" Target="https://link.springer.com/article/10.1007/s11930-023-00369-8" TargetMode="External"/><Relationship Id="rId11" Type="http://schemas.openxmlformats.org/officeDocument/2006/relationships/hyperlink" Target="https://pmc.ncbi.nlm.nih.gov/articles/PMC6980764/" TargetMode="External"/><Relationship Id="rId12" Type="http://schemas.openxmlformats.org/officeDocument/2006/relationships/hyperlink" Target="https://journals.sagepub.com/doi/abs/10.1089/lgbt.2018.0125" TargetMode="External"/><Relationship Id="rId13" Type="http://schemas.openxmlformats.org/officeDocument/2006/relationships/hyperlink" Target="https://journals.sagepub.com/doi/full/10.1089/lgbt.2018.0207" TargetMode="External"/><Relationship Id="rId14" Type="http://schemas.openxmlformats.org/officeDocument/2006/relationships/hyperlink" Target="https://www.sciencedirect.com/science/article/pii/S0306460322003057" TargetMode="External"/><Relationship Id="rId15" Type="http://schemas.openxmlformats.org/officeDocument/2006/relationships/hyperlink" Target="https://www.sciencedirect.com/science/article/pii/S235285322400048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