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Washington School LGBTQ Lessons Face Religious Opt-Out Lawsuit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Washington father is suing Lake Washington School District after his son attended lessons involving LGBTQ+ topics, while the school says the sessions focused on empathy, inclusion and bullying prevention. The case arrives as schools across America grapple with how to balance religious objections, parental rights and the need to make LGBTQ+ pupils feel safe.</w:t>
      </w:r>
      <w:r/>
    </w:p>
    <w:p>
      <w:pPr>
        <w:pStyle w:val="Heading2"/>
      </w:pPr>
      <w:r>
        <w:t>Essential Takeaways</w:t>
      </w:r>
      <w:r/>
      <w:r/>
    </w:p>
    <w:p>
      <w:pPr>
        <w:pStyle w:val="ListBullet"/>
        <w:spacing w:line="240" w:lineRule="auto"/>
        <w:ind w:left="720"/>
      </w:pPr>
      <w:r/>
      <w:r>
        <w:rPr>
          <w:b/>
        </w:rPr>
        <w:t>The dispute:</w:t>
      </w:r>
      <w:r>
        <w:t xml:space="preserve"> Konstantin Averkiev says he wasn't properly notified about lessons involving sexuality and gender.</w:t>
      </w:r>
      <w:r/>
    </w:p>
    <w:p>
      <w:pPr>
        <w:pStyle w:val="ListBullet"/>
        <w:spacing w:line="240" w:lineRule="auto"/>
        <w:ind w:left="720"/>
      </w:pPr>
      <w:r/>
      <w:r>
        <w:rPr>
          <w:b/>
        </w:rPr>
        <w:t>The school's account:</w:t>
      </w:r>
      <w:r>
        <w:t xml:space="preserve"> Officials say the sessions centred on bullying, school belonging and the impact of biased remarks.</w:t>
      </w:r>
      <w:r/>
    </w:p>
    <w:p>
      <w:pPr>
        <w:pStyle w:val="ListBullet"/>
        <w:spacing w:line="240" w:lineRule="auto"/>
        <w:ind w:left="720"/>
      </w:pPr>
      <w:r/>
      <w:r>
        <w:rPr>
          <w:b/>
        </w:rPr>
        <w:t>The legal argument:</w:t>
      </w:r>
      <w:r>
        <w:t xml:space="preserve"> Alliance Defending Freedom claims the district violated religious-freedom and due-process rights.</w:t>
      </w:r>
      <w:r/>
    </w:p>
    <w:p>
      <w:pPr>
        <w:pStyle w:val="ListBullet"/>
        <w:spacing w:line="240" w:lineRule="auto"/>
        <w:ind w:left="720"/>
      </w:pPr>
      <w:r/>
      <w:r>
        <w:rPr>
          <w:b/>
        </w:rPr>
        <w:t>The wider backdrop:</w:t>
      </w:r>
      <w:r>
        <w:t xml:space="preserve"> The case follows the Supreme Court's 2025 decision in </w:t>
      </w:r>
      <w:r>
        <w:rPr>
          <w:i/>
        </w:rPr>
        <w:t>Mahmoud v Taylor</w:t>
      </w:r>
      <w:r>
        <w:t xml:space="preserve"> on religious opt-outs.</w:t>
      </w:r>
      <w:r/>
    </w:p>
    <w:p>
      <w:pPr>
        <w:pStyle w:val="ListBullet"/>
        <w:spacing w:line="240" w:lineRule="auto"/>
        <w:ind w:left="720"/>
      </w:pPr>
      <w:r/>
      <w:r>
        <w:rPr>
          <w:b/>
        </w:rPr>
        <w:t>Why it matters:</w:t>
      </w:r>
      <w:r>
        <w:t xml:space="preserve"> The outcome could influence how schools define LGBTQ+-related teaching and when parents must be offered an alternative.</w:t>
      </w:r>
      <w:r/>
      <w:r/>
    </w:p>
    <w:p>
      <w:pPr>
        <w:pStyle w:val="Heading2"/>
      </w:pPr>
      <w:r>
        <w:t>A classroom lesson has become a constitutional fight</w:t>
      </w:r>
      <w:r/>
    </w:p>
    <w:p>
      <w:r/>
      <w:r>
        <w:t>The dispute began with a familiar school concern, but it has quickly moved into much bigger territory. Averkiev says he asked to be told about lessons touching on sexuality and gender, yet only learned about them after his son discussed a classroom session at home.</w:t>
      </w:r>
      <w:r/>
    </w:p>
    <w:p>
      <w:r/>
      <w:r>
        <w:t>According to the Alliance Defending Freedom, the father believes the teaching conflicted with his religious convictions. The organisation says he asked for an opt-out and was told that the district allowed exemptions only for state-required sex education. ADF has filed the case on his behalf.</w:t>
      </w:r>
      <w:r/>
    </w:p>
    <w:p>
      <w:r/>
      <w:r>
        <w:t>The school district presents a notably different picture. Its communications director, Shannon Parthemer, said the lessons were about empathy, inclusion, bullying prevention and school belonging, rather than a standalone course on sexual health. That distinction may prove central, because the legal question is likely to turn on what pupils were actually taught, not simply how the material was described afterwards.</w:t>
      </w:r>
      <w:r/>
    </w:p>
    <w:p>
      <w:pPr>
        <w:pStyle w:val="Heading2"/>
      </w:pPr>
      <w:r>
        <w:t>The school says it was teaching safety, not surgery</w:t>
      </w:r>
      <w:r/>
    </w:p>
    <w:p>
      <w:r/>
      <w:r>
        <w:t>Averkiev's lawyers say his son came home talking about gender-change surgeries, a detail that helped trigger the complaint. But the district says pupils examined school-climate information, considered the effects of prejudice and reflected on how to help all children, including LGBTQ+ classmates, feel safer.</w:t>
      </w:r>
      <w:r/>
    </w:p>
    <w:p>
      <w:r/>
      <w:r>
        <w:t>That gap in description is more than a public-relations disagreement. A lesson about preventing bullying may mention LGBTQ+ identities without being a lesson in sex education, while a parent may regard any such discussion as instruction on gender or sexuality. In practice, the same classroom activity can look very different depending on where a family draws that line.</w:t>
      </w:r>
      <w:r/>
    </w:p>
    <w:p>
      <w:r/>
      <w:r>
        <w:t>The California Department of Education's guidance on related school responsibilities reflects the broader challenge: schools are expected to address discrimination and maintain inclusive learning environments, while families may also have rights connected to specific health or survey content. The Washington case could test how those categories fit together.</w:t>
      </w:r>
      <w:r/>
    </w:p>
    <w:p>
      <w:pPr>
        <w:pStyle w:val="Heading2"/>
      </w:pPr>
      <w:r>
        <w:t>Why the Supreme Court's Mahmoud ruling matters</w:t>
      </w:r>
      <w:r/>
    </w:p>
    <w:p>
      <w:r/>
      <w:r>
        <w:t xml:space="preserve">The lawsuit comes after the Supreme Court's 2025 decision in </w:t>
      </w:r>
      <w:r>
        <w:rPr>
          <w:i/>
        </w:rPr>
        <w:t>Mahmoud v Taylor</w:t>
      </w:r>
      <w:r>
        <w:t>, which Cornell Law School's legal materials describe as recognising a right for some religious parents to seek exemptions from lessons containing LGBTQ+ content. That ruling has given campaigners a powerful new legal framework for challenging school policies.</w:t>
      </w:r>
      <w:r/>
    </w:p>
    <w:p>
      <w:r/>
      <w:r>
        <w:t>It doesn't necessarily mean that every reference to LGBTQ+ pupils requires an automatic opt-out. The practical questions are likely to include whether the material substantially burdens a family's religious exercise, whether the school gave enough notice and whether an alternative activity would be workable.</w:t>
      </w:r>
      <w:r/>
    </w:p>
    <w:p>
      <w:r/>
      <w:r>
        <w:t>That uncertainty is where the case could become important. A ruling that treats inclusion lessons as materially different from sex education could protect schools' anti-bullying work. A broader interpretation could require districts to rethink how they notify families and handle objections.</w:t>
      </w:r>
      <w:r/>
    </w:p>
    <w:p>
      <w:pPr>
        <w:pStyle w:val="Heading2"/>
      </w:pPr>
      <w:r>
        <w:t>ADF's wider campaign gives the case extra weight</w:t>
      </w:r>
      <w:r/>
    </w:p>
    <w:p>
      <w:r/>
      <w:r>
        <w:t xml:space="preserve">The Alliance Defending Freedom has become a major force in US religious-liberty litigation, particularly in disputes involving LGBTQ+ rights, education and public services. Its recent Supreme Court record includes high-profile cases such as </w:t>
      </w:r>
      <w:r>
        <w:rPr>
          <w:i/>
        </w:rPr>
        <w:t>303 Creative v Elenis</w:t>
      </w:r>
      <w:r>
        <w:t xml:space="preserve">, </w:t>
      </w:r>
      <w:r>
        <w:rPr>
          <w:i/>
        </w:rPr>
        <w:t>Kennedy v Bremerton School District</w:t>
      </w:r>
      <w:r>
        <w:t xml:space="preserve"> and </w:t>
      </w:r>
      <w:r>
        <w:rPr>
          <w:i/>
        </w:rPr>
        <w:t>Masterpiece Cakeshop v Colorado Civil Rights Commission</w:t>
      </w:r>
      <w:r>
        <w:t>.</w:t>
      </w:r>
      <w:r/>
    </w:p>
    <w:p>
      <w:r/>
      <w:r>
        <w:t>The organisation's involvement means this is unlikely to remain a local disagreement over one primary-school lesson. ADF's cases often seek principles that can be applied well beyond the individual client, potentially affecting school boards and families across the country.</w:t>
      </w:r>
      <w:r/>
    </w:p>
    <w:p>
      <w:r/>
      <w:r>
        <w:t>Cornell's Supreme Court records show how legal battles over religious objections can move from a single institution to a national debate about constitutional boundaries. For educators, that can make ordinary classroom planning feel surprisingly high-stakes.</w:t>
      </w:r>
      <w:r/>
    </w:p>
    <w:p>
      <w:pPr>
        <w:pStyle w:val="Heading2"/>
      </w:pPr>
      <w:r>
        <w:t>Parents and schools face an awkward balancing act</w:t>
      </w:r>
      <w:r/>
    </w:p>
    <w:p>
      <w:r/>
      <w:r>
        <w:t>Schools will need to be clearer about course descriptions, lesson objectives and notification procedures, particularly where discussions of identity overlap with health education. Parents, meanwhile, may need to distinguish between a formal sex-education unit and a broader lesson on bullying, respect or school climate.</w:t>
      </w:r>
      <w:r/>
    </w:p>
    <w:p>
      <w:r/>
      <w:r>
        <w:t>That won't settle every disagreement. A family may object to a lesson even when the school considers it essential to protecting vulnerable pupils, and LGBTQ+ children may feel the consequences if inclusion teaching is treated as optional or routinely removed.</w:t>
      </w:r>
      <w:r/>
    </w:p>
    <w:p>
      <w:r/>
      <w:r>
        <w:t xml:space="preserve">The Supreme Court material and legal commentary surrounding </w:t>
      </w:r>
      <w:r>
        <w:rPr>
          <w:i/>
        </w:rPr>
        <w:t>Mahmoud v Taylor</w:t>
      </w:r>
      <w:r>
        <w:t xml:space="preserve"> point towards a continuing debate over liberal pluralism: how far public schools should accommodate different beliefs while still offering a common, safe education. It's a difficult line, and this Washington lawsuit shows just how quickly it can become a national test case.</w:t>
      </w:r>
      <w:r/>
    </w:p>
    <w:p>
      <w:r/>
      <w:r>
        <w:t>The final outcome may turn on a deceptively simple question: was this sex education, or was it anti-bullying teaching that happened to include LGBTQ+ pupils?</w:t>
      </w:r>
      <w:r/>
    </w:p>
    <w:p>
      <w:r/>
      <w:r>
        <w:t>It's a small classroom distinction with very large consequences.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3">
        <w:r>
          <w:rPr>
            <w:color w:val="0000EE"/>
            <w:u w:val="single"/>
          </w:rPr>
          <w:t>[5]</w:t>
        </w:r>
      </w:hyperlink>
      <w:r>
        <w:t xml:space="preserve">, </w:t>
      </w:r>
      <w:hyperlink r:id="rId15">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1">
        <w:r>
          <w:rPr>
            <w:color w:val="0000EE"/>
            <w:u w:val="single"/>
          </w:rPr>
          <w:t>[3]</w:t>
        </w:r>
      </w:hyperlink>
      <w:r>
        <w:t xml:space="preserve">, </w:t>
      </w:r>
      <w:hyperlink r:id="rId14">
        <w:r>
          <w:rPr>
            <w:color w:val="0000EE"/>
            <w:u w:val="single"/>
          </w:rPr>
          <w:t>[7]</w:t>
        </w:r>
      </w:hyperlink>
      <w:r>
        <w:t xml:space="preserve">- Paragraph 11: </w:t>
      </w:r>
      <w:hyperlink r:id="rId12">
        <w:r>
          <w:rPr>
            <w:color w:val="0000EE"/>
            <w:u w:val="single"/>
          </w:rPr>
          <w:t>[4]</w:t>
        </w:r>
      </w:hyperlink>
      <w:r>
        <w:t xml:space="preserve">, </w:t>
      </w:r>
      <w:hyperlink r:id="rId15">
        <w:r>
          <w:rPr>
            <w:color w:val="0000EE"/>
            <w:u w:val="single"/>
          </w:rPr>
          <w:t>[6]</w:t>
        </w:r>
      </w:hyperlink>
      <w:r>
        <w:t xml:space="preserve">- Paragraph 12: </w:t>
      </w:r>
      <w:hyperlink r:id="rId11">
        <w:r>
          <w:rPr>
            <w:color w:val="0000EE"/>
            <w:u w:val="single"/>
          </w:rPr>
          <w:t>[3]</w:t>
        </w:r>
      </w:hyperlink>
      <w:r>
        <w:t xml:space="preserve">, </w:t>
      </w:r>
      <w:hyperlink r:id="rId14">
        <w:r>
          <w:rPr>
            <w:color w:val="0000EE"/>
            <w:u w:val="single"/>
          </w:rPr>
          <w:t>[7]</w:t>
        </w:r>
      </w:hyperlink>
      <w:r>
        <w:t xml:space="preserve">- Paragraph 13: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https://www.lgbtqnation.com/2026/09/hate-group-sues-school-district-for-not-notifying-christian-dad-about-lessons-on-anti/</w:t>
        </w:r>
      </w:hyperlink>
      <w:r>
        <w:t xml:space="preserve"> - Please view link - unable to able to access data</w:t>
      </w:r>
      <w:r/>
    </w:p>
    <w:p>
      <w:pPr>
        <w:pStyle w:val="ListNumber"/>
        <w:spacing w:line="240" w:lineRule="auto"/>
        <w:ind w:left="720"/>
      </w:pPr>
      <w:r/>
      <w:hyperlink r:id="rId10">
        <w:r>
          <w:rPr>
            <w:color w:val="0000EE"/>
            <w:u w:val="single"/>
          </w:rPr>
          <w:t>https://adflegal.org/press-release/wa-father-sues-school-district-for-denying-religious-opt-out-from-lgbtq-instruction/</w:t>
        </w:r>
      </w:hyperlink>
      <w:r>
        <w:t xml:space="preserve"> - Alliance Defending Freedom (ADF) attorneys filed a federal lawsuit against the Lake Washington School District on behalf of a Washington father, Konstantin Averkiev, who alleges that the district denied his request to opt his son out of LGBTQ+ instruction. Averkiev, a Christian, seeks to instill his religious beliefs in his son, but the district's LGBTQ+ inclusive curricula conflict with his faith. The lawsuit argues that the district's refusal violates Averkiev's First and Fourteenth Amendment rights. ADF emphasizes that parents have the fundamental right to direct their children's religious upbringing and education, even at school.</w:t>
      </w:r>
      <w:r/>
    </w:p>
    <w:p>
      <w:pPr>
        <w:pStyle w:val="ListNumber"/>
        <w:spacing w:line="240" w:lineRule="auto"/>
        <w:ind w:left="720"/>
      </w:pPr>
      <w:r/>
      <w:hyperlink r:id="rId11">
        <w:r>
          <w:rPr>
            <w:color w:val="0000EE"/>
            <w:u w:val="single"/>
          </w:rPr>
          <w:t>https://www.law.cornell.edu/gender-justice/resource/Mahmoud_v_Taylor_2025</w:t>
        </w:r>
      </w:hyperlink>
      <w:r>
        <w:t xml:space="preserve"> - The case Mahmoud v. Taylor, 606 U.S. 522 (2025), reached the U.S. Supreme Court after a group of religiously diverse parents challenged the Montgomery County Board of Education’s adoption of LGBTQ+-inclusive storybooks for kindergarten through fifth grade, and its elimination of a pre-existing parental opt-out option for that instruction. Initially, the parents sought a preliminary injunction in the U.S. District Court for the District of Maryland, which denied relief. The case proceeded to the U.S. Court of Appeals for the Fourth Circuit, which affirmed the denial. The Supreme Court granted certiorari, and heard arguments on April 22, 2025. On June 27, 2025, the Supreme Court held that the Board’s combination of the curriculum change and removal of opt-out rights imposed a permissible burden on religious exercise and remanded the case for further proceedings.</w:t>
      </w:r>
      <w:r/>
    </w:p>
    <w:p>
      <w:pPr>
        <w:pStyle w:val="ListNumber"/>
        <w:spacing w:line="240" w:lineRule="auto"/>
        <w:ind w:left="720"/>
      </w:pPr>
      <w:r/>
      <w:hyperlink r:id="rId12">
        <w:r>
          <w:rPr>
            <w:color w:val="0000EE"/>
            <w:u w:val="single"/>
          </w:rPr>
          <w:t>https://www.cde.ca.gov/re/lr/mt/</w:t>
        </w:r>
      </w:hyperlink>
      <w:r>
        <w:t xml:space="preserve"> - On June 27, 2025, the U.S. Supreme Court issued a decision in the case of Mahmoud v. Taylor. In Mahmoud, the Supreme Court reversed two lower courts’ refusal to grant a preliminary injunction based on a Maryland school district’s failure to provide appropriate notice of, and a related refusal to allow elementary school parents to opt their children out of, lessons that incorporated curricular material that contained LGBTQ+ themes. The fundamental holding in Mahmoud is that where a school (or its board) adopts policies or curricular materials that the school has reason to know will 'substantially interfere with the religious development' of parents’ children and/or will pose a 'very real threat of undermining the religious beliefs and practices' that parents wish to instill in their children, the school must provide notice to parents of the policy or material and an opportunity for the parents to opt their children out of the policy or exposure to the material.</w:t>
      </w:r>
      <w:r/>
    </w:p>
    <w:p>
      <w:pPr>
        <w:pStyle w:val="ListNumber"/>
        <w:spacing w:line="240" w:lineRule="auto"/>
        <w:ind w:left="720"/>
      </w:pPr>
      <w:r/>
      <w:hyperlink r:id="rId13">
        <w:r>
          <w:rPr>
            <w:color w:val="0000EE"/>
            <w:u w:val="single"/>
          </w:rPr>
          <w:t>https://www.law.cornell.edu/supct/cert/24-297</w:t>
        </w:r>
      </w:hyperlink>
      <w:r>
        <w:t xml:space="preserve"> - This case asks whether a public school violates the Free Exercise Clause when it includes books containing LGBTQ characters in its curriculum and does not allow families to exempt their children’s exposure to such books on religious grounds. Petitioners argue that their children’s exposure to books that contain LGBTQ characters and themes burdens their religious exercise and that their claims should be examined under strict scrutiny, a rigorous standard of review.</w:t>
      </w:r>
      <w:r/>
    </w:p>
    <w:p>
      <w:pPr>
        <w:pStyle w:val="ListNumber"/>
        <w:spacing w:line="240" w:lineRule="auto"/>
        <w:ind w:left="720"/>
      </w:pPr>
      <w:r/>
      <w:hyperlink r:id="rId15">
        <w:r>
          <w:rPr>
            <w:color w:val="0000EE"/>
            <w:u w:val="single"/>
          </w:rPr>
          <w:t>https://www.theatlantic.com/ideas/archive/2025/06/supreme-court-liberal-activism/683356/?utm_source=apple_news</w:t>
        </w:r>
      </w:hyperlink>
      <w:r>
        <w:t xml:space="preserve"> - The article discusses the recent challenges faced by liberal advocates at the U.S. Supreme Court, highlighting two significant conservative rulings: United States v. Skrmetti, which upheld a Tennessee law banning gender-affirming medical treatments for minors, and Mahmoud v. Taylor, which granted religious parents a constitutional right to shield their children from LGBTQ-inclusive education. These setbacks, the author argues, are the predictable result of liberal legal strategies that bring ambitious cases to a conservative Court explicitly appointed to dismantle progressive precedents. Rather than continuing to rely on federal courts—especially the Supreme Court—the piece urges progressive legal advocates to shift their focus toward political and grassroots organizing, legislative advocacy, and public engagement. The article critiques how organizations like the ACLU pursued high-risk litigation without sufficient consideration of the current Court’s ideological makeup or public opinion. It emphasizes that progressives must work to shift cultural and political norms outside the courts in order to influence legal doctrine over time and avoid further entrenching conservative jurisprudence.</w:t>
      </w:r>
      <w:r/>
    </w:p>
    <w:p>
      <w:pPr>
        <w:pStyle w:val="ListNumber"/>
        <w:spacing w:line="240" w:lineRule="auto"/>
        <w:ind w:left="720"/>
      </w:pPr>
      <w:r/>
      <w:hyperlink r:id="rId14">
        <w:r>
          <w:rPr>
            <w:color w:val="0000EE"/>
            <w:u w:val="single"/>
          </w:rPr>
          <w:t>https://www.theatlantic.com/ideas/archive/2025/10/mahmoud-taylor-liberal-pluralism/684464/?utm_source=apple_news</w:t>
        </w:r>
      </w:hyperlink>
      <w:r>
        <w:t xml:space="preserve"> - The article discusses the implications of the U.S. Supreme Court’s ruling in Mahmoud v. Taylor, which granted parents a constitutional right to opt their children out of school lessons that conflict with their religious beliefs, specifically those addressing sexual orientation and gender identity. The ruling arose after Montgomery County Public Schools (MCPS) initially allowed then revoked opt-outs for such content, prompting a legal challenge. The Court’s decision now mandates proactive notification and accommodation, potentially straining school systems and inviting misuse. While critics worry this could undermine inclusive education, the article argues that the decision presents an opportunity for liberals to reaffirm the principles of pluralism and democratic inclusion. Public schools must balance affirming LGBTQ students with respecting religious diversity. Offering opt-outs is framed not as endorsing intolerance but as accommodating deeply held beliefs in a diverse society. The author calls for constructive responses: clear policies, respectful teacher training, community advisory roles, and transparency tools like MCPS's “refrigerator curriculum.” Ultimately, the piece urges that defending public education requires embracing pluralism as a civic responsibility rather than forcing ideological conformity.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hate-group-sues-school-district-for-not-notifying-christian-dad-about-lessons-on-anti/" TargetMode="External"/><Relationship Id="rId10" Type="http://schemas.openxmlformats.org/officeDocument/2006/relationships/hyperlink" Target="https://adflegal.org/press-release/wa-father-sues-school-district-for-denying-religious-opt-out-from-lgbtq-instruction/" TargetMode="External"/><Relationship Id="rId11" Type="http://schemas.openxmlformats.org/officeDocument/2006/relationships/hyperlink" Target="https://www.law.cornell.edu/gender-justice/resource/Mahmoud_v_Taylor_2025" TargetMode="External"/><Relationship Id="rId12" Type="http://schemas.openxmlformats.org/officeDocument/2006/relationships/hyperlink" Target="https://www.cde.ca.gov/re/lr/mt/" TargetMode="External"/><Relationship Id="rId13" Type="http://schemas.openxmlformats.org/officeDocument/2006/relationships/hyperlink" Target="https://www.law.cornell.edu/supct/cert/24-297" TargetMode="External"/><Relationship Id="rId14" Type="http://schemas.openxmlformats.org/officeDocument/2006/relationships/hyperlink" Target="https://www.theatlantic.com/ideas/archive/2025/10/mahmoud-taylor-liberal-pluralism/684464/?utm_source=apple_news" TargetMode="External"/><Relationship Id="rId15" Type="http://schemas.openxmlformats.org/officeDocument/2006/relationships/hyperlink" Target="https://www.theatlantic.com/ideas/archive/2025/06/supreme-court-liberal-activism/683356/?utm_source=apple_n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