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Trans-Inclusive Breast Cancer Screening Training Explained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45-minute virtual session has given breast imaging staff more confidence in transgender-inclusive breast cancer screening, highlighting how small changes in language, training and clinic culture could help more patients access potentially lifesaving care.</w:t>
      </w:r>
      <w:r/>
    </w:p>
    <w:p>
      <w:pPr>
        <w:pStyle w:val="Heading2"/>
      </w:pPr>
      <w:r>
        <w:t>Essential Takeaways</w:t>
      </w:r>
      <w:r/>
      <w:r/>
    </w:p>
    <w:p>
      <w:pPr>
        <w:pStyle w:val="ListBullet"/>
        <w:spacing w:line="240" w:lineRule="auto"/>
        <w:ind w:left="720"/>
      </w:pPr>
      <w:r/>
      <w:r>
        <w:rPr>
          <w:b/>
        </w:rPr>
        <w:t>Short training made a difference:</w:t>
      </w:r>
      <w:r>
        <w:t xml:space="preserve"> Staff reported stronger knowledge after a single 45-minute session.</w:t>
      </w:r>
      <w:r/>
    </w:p>
    <w:p>
      <w:pPr>
        <w:pStyle w:val="ListBullet"/>
        <w:spacing w:line="240" w:lineRule="auto"/>
        <w:ind w:left="720"/>
      </w:pPr>
      <w:r/>
      <w:r>
        <w:rPr>
          <w:b/>
        </w:rPr>
        <w:t>The whole team matters:</w:t>
      </w:r>
      <w:r>
        <w:t xml:space="preserve"> Schedulers, technologists and radiologists all shape the screening experience.</w:t>
      </w:r>
      <w:r/>
    </w:p>
    <w:p>
      <w:pPr>
        <w:pStyle w:val="ListBullet"/>
        <w:spacing w:line="240" w:lineRule="auto"/>
        <w:ind w:left="720"/>
      </w:pPr>
      <w:r/>
      <w:r>
        <w:rPr>
          <w:b/>
        </w:rPr>
        <w:t>Storytelling stood out:</w:t>
      </w:r>
      <w:r>
        <w:t xml:space="preserve"> Participants rated lived-experience narratives as the most valuable part.</w:t>
      </w:r>
      <w:r/>
    </w:p>
    <w:p>
      <w:pPr>
        <w:pStyle w:val="ListBullet"/>
        <w:spacing w:line="240" w:lineRule="auto"/>
        <w:ind w:left="720"/>
      </w:pPr>
      <w:r/>
      <w:r>
        <w:rPr>
          <w:b/>
        </w:rPr>
        <w:t>The evidence remains early:</w:t>
      </w:r>
      <w:r>
        <w:t xml:space="preserve"> Knowledge improved, but the pilot was small and patient outcomes weren't measured.</w:t>
      </w:r>
      <w:r/>
    </w:p>
    <w:p>
      <w:pPr>
        <w:pStyle w:val="ListBullet"/>
        <w:spacing w:line="240" w:lineRule="auto"/>
        <w:ind w:left="720"/>
      </w:pPr>
      <w:r/>
      <w:r>
        <w:rPr>
          <w:b/>
        </w:rPr>
        <w:t>A welcoming first contact counts:</w:t>
      </w:r>
      <w:r>
        <w:t xml:space="preserve"> Respectful names, pronouns and communication may help reduce missed screening appointments.</w:t>
      </w:r>
      <w:r/>
      <w:r/>
    </w:p>
    <w:p>
      <w:pPr>
        <w:pStyle w:val="Heading2"/>
      </w:pPr>
      <w:r>
        <w:t>A small training session tackles a large screening gap</w:t>
      </w:r>
      <w:r/>
    </w:p>
    <w:p>
      <w:r/>
      <w:r>
        <w:t>A breast imaging appointment can feel routine to one patient and deeply stressful to another. For transgender and gender diverse people, worries about being misgendered, questioned or treated dismissively can become a powerful reason to delay or avoid screening altogether.</w:t>
      </w:r>
      <w:r/>
    </w:p>
    <w:p>
      <w:r/>
      <w:r>
        <w:t>That makes the results of this pilot study particularly striking. As reported by Bioengineer, staff knowledge improved after a single virtual session covering inclusive terminology, screening guidance, trauma-informed care and practical ways to make imaging services feel safer.</w:t>
      </w:r>
      <w:r/>
    </w:p>
    <w:p>
      <w:r/>
      <w:r>
        <w:t>The change wasn't based on an expensive overhaul or a lengthy academic course. It was a focused conversation held during the working day, which is a useful reminder that healthcare training doesn't always need to be grand to be meaningful.</w:t>
      </w:r>
      <w:r/>
    </w:p>
    <w:p>
      <w:pPr>
        <w:pStyle w:val="Heading2"/>
      </w:pPr>
      <w:r>
        <w:t>Why every member of the imaging team has a role</w:t>
      </w:r>
      <w:r/>
    </w:p>
    <w:p>
      <w:r/>
      <w:r>
        <w:t>The study's approach went beyond doctors. It included the people who answer the telephone, arrange appointments, welcome patients, carry out mammograms and scans, and interpret the images afterwards.</w:t>
      </w:r>
      <w:r/>
    </w:p>
    <w:p>
      <w:r/>
      <w:r>
        <w:t>That matters because the patient journey starts well before the examination room. A scheduler who knows how to handle a name that differs from legal records can prevent an awkward exchange, while a technologist who uses the correct pronouns can help establish trust within seconds.</w:t>
      </w:r>
      <w:r/>
    </w:p>
    <w:p>
      <w:r/>
      <w:r>
        <w:t>Related research on LGBTQIA+ healthcare points to the same broader problem: clinical systems often rely on assumptions about sex, gender and family life. Those assumptions can leave patients feeling like they must educate the service while also trying to receive care.</w:t>
      </w:r>
      <w:r/>
    </w:p>
    <w:p>
      <w:pPr>
        <w:pStyle w:val="Heading2"/>
      </w:pPr>
      <w:r>
        <w:t>Storytelling made the lesson stick</w:t>
      </w:r>
      <w:r/>
    </w:p>
    <w:p>
      <w:r/>
      <w:r>
        <w:t>The session combined facts with personal stories, and participants reportedly valued the narratives most highly. That's not surprising. Guidelines can explain what inclusive care should look like, but a real account of an uncomfortable appointment can show why seemingly minor details matter.</w:t>
      </w:r>
      <w:r/>
    </w:p>
    <w:p>
      <w:r/>
      <w:r>
        <w:t>The training also used practical scenarios, such as calling a patient from a waiting room, correcting a pronoun mistake and checking identity when an appointment name doesn't match official documentation. These are ordinary moments, but they can either smooth the path or create a lasting impression.</w:t>
      </w:r>
      <w:r/>
    </w:p>
    <w:p>
      <w:r/>
      <w:r>
        <w:t>According to the study summary, self-rated knowledge rose from 2.4 to 3.13 on a four-point scale. Direct test scores improved too, although that increase wasn't statistically significant, while attitude scores moved in a more accepting direction without reaching statistical significance.</w:t>
      </w:r>
      <w:r/>
    </w:p>
    <w:p>
      <w:pPr>
        <w:pStyle w:val="Heading2"/>
      </w:pPr>
      <w:r>
        <w:t>What the findings mean for transgender-inclusive screening</w:t>
      </w:r>
      <w:r/>
    </w:p>
    <w:p>
      <w:r/>
      <w:r>
        <w:t>The pilot doesn't prove that a short course will increase screening rates or reduce cancer diagnoses. Only a small number of staff completed the surveys, and the researchers measured confidence and knowledge rather than what happened to patients afterwards.</w:t>
      </w:r>
      <w:r/>
    </w:p>
    <w:p>
      <w:r/>
      <w:r>
        <w:t>Still, the findings offer a practical starting point for breast imaging centres. Training should be available to the full team, not just clinicians, and it should include clear local procedures for names, pronouns, records, changing areas and questions about anatomy.</w:t>
      </w:r>
      <w:r/>
    </w:p>
    <w:p>
      <w:r/>
      <w:r>
        <w:t>The wider evidence also shows why careful communication matters. Research covered by Bioengineer has explored barriers affecting transgender patients across healthcare, from organ transplantation to gender-affirming treatment. The common thread is familiar: patients are more likely to engage when services feel informed, respectful and predictable.</w:t>
      </w:r>
      <w:r/>
    </w:p>
    <w:p>
      <w:pPr>
        <w:pStyle w:val="Heading2"/>
      </w:pPr>
      <w:r>
        <w:t>Choosing a safer, more welcoming patient experience</w:t>
      </w:r>
      <w:r/>
    </w:p>
    <w:p>
      <w:r/>
      <w:r>
        <w:t>For healthcare leaders, the message is refreshingly concrete. A useful programme can be brief, delivered online and built around realistic situations, provided it gives staff enough time to practise and ask questions.</w:t>
      </w:r>
      <w:r/>
    </w:p>
    <w:p>
      <w:r/>
      <w:r>
        <w:t>The next step is to find out whether these changes are visible to patients. Do fewer people cancel or avoid appointments? Do they report greater trust? Are screening rates improving among transgender and gender diverse communities? Those are the measures that will show whether confidence behind the desk becomes better care in front of the scanner.</w:t>
      </w:r>
      <w:r/>
    </w:p>
    <w:p>
      <w:r/>
      <w:r>
        <w:t>For patients, it may help to ask a screening centre in advance how it handles names, records and gender-inclusive care. A service that answers clearly and respectfully is often revealing its culture before the appointment even begins.</w:t>
      </w:r>
      <w:r/>
    </w:p>
    <w:p>
      <w:r/>
      <w:r>
        <w:t>A 45-minute session won't fix every barrier, but it can help replace uncertainty with competence, and discomfort with welcome.</w:t>
      </w:r>
      <w:r/>
    </w:p>
    <w:p>
      <w:r/>
      <w:r>
        <w:t>Explore screening services that make respect part of the routine.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9">
        <w:r>
          <w:rPr>
            <w:color w:val="0000EE"/>
            <w:u w:val="single"/>
          </w:rPr>
          <w:t>[2]</w:t>
        </w:r>
      </w:hyperlink>
      <w:r>
        <w:t xml:space="preserve">, </w:t>
      </w:r>
      <w:hyperlink r:id="rId10">
        <w:r>
          <w:rPr>
            <w:color w:val="0000EE"/>
            <w:u w:val="single"/>
          </w:rPr>
          <w:t>[7]</w:t>
        </w:r>
      </w:hyperlink>
      <w:r>
        <w:t xml:space="preserve">- Paragraph 3: </w:t>
      </w:r>
      <w:hyperlink r:id="rId9">
        <w:r>
          <w:rPr>
            <w:color w:val="0000EE"/>
            <w:u w:val="single"/>
          </w:rPr>
          <w:t>[2]</w:t>
        </w:r>
      </w:hyperlink>
      <w:r>
        <w:t xml:space="preserve">, </w:t>
      </w:r>
      <w:hyperlink r:id="rId11">
        <w:r>
          <w:rPr>
            <w:color w:val="0000EE"/>
            <w:u w:val="single"/>
          </w:rPr>
          <w:t>[3]</w:t>
        </w:r>
      </w:hyperlink>
      <w:r>
        <w:t xml:space="preserve">- Paragraph 4: </w:t>
      </w:r>
      <w:hyperlink r:id="rId9">
        <w:r>
          <w:rPr>
            <w:color w:val="0000EE"/>
            <w:u w:val="single"/>
          </w:rPr>
          <w:t>[2]</w:t>
        </w:r>
      </w:hyperlink>
      <w:r>
        <w:t xml:space="preserve">, </w:t>
      </w:r>
      <w:hyperlink r:id="rId10">
        <w:r>
          <w:rPr>
            <w:color w:val="0000EE"/>
            <w:u w:val="single"/>
          </w:rPr>
          <w:t>[7]</w:t>
        </w:r>
      </w:hyperlink>
      <w:r>
        <w:t xml:space="preserve">- Paragraph 5: </w:t>
      </w:r>
      <w:hyperlink r:id="rId9">
        <w:r>
          <w:rPr>
            <w:color w:val="0000EE"/>
            <w:u w:val="single"/>
          </w:rPr>
          <w:t>[2]</w:t>
        </w:r>
      </w:hyperlink>
      <w:r>
        <w:t xml:space="preserve">, </w:t>
      </w:r>
      <w:hyperlink r:id="rId12">
        <w:r>
          <w:rPr>
            <w:color w:val="0000EE"/>
            <w:u w:val="single"/>
          </w:rPr>
          <w:t>[6]</w:t>
        </w:r>
      </w:hyperlink>
      <w:r>
        <w:t xml:space="preserve">- Paragraph 6: </w:t>
      </w:r>
      <w:hyperlink r:id="rId9">
        <w:r>
          <w:rPr>
            <w:color w:val="0000EE"/>
            <w:u w:val="single"/>
          </w:rPr>
          <w:t>[2]</w:t>
        </w:r>
      </w:hyperlink>
      <w:r>
        <w:t xml:space="preserve">, </w:t>
      </w:r>
      <w:hyperlink r:id="rId10">
        <w:r>
          <w:rPr>
            <w:color w:val="0000EE"/>
            <w:u w:val="single"/>
          </w:rPr>
          <w:t>[7]</w:t>
        </w:r>
      </w:hyperlink>
      <w:r>
        <w:t xml:space="preserve">- Paragraph 7: </w:t>
      </w:r>
      <w:hyperlink r:id="rId9">
        <w:r>
          <w:rPr>
            <w:color w:val="0000EE"/>
            <w:u w:val="single"/>
          </w:rPr>
          <w:t>[2]</w:t>
        </w:r>
      </w:hyperlink>
      <w:r>
        <w:t xml:space="preserve">, </w:t>
      </w:r>
      <w:hyperlink r:id="rId11">
        <w:r>
          <w:rPr>
            <w:color w:val="0000EE"/>
            <w:u w:val="single"/>
          </w:rPr>
          <w:t>[3]</w:t>
        </w:r>
      </w:hyperlink>
      <w:r>
        <w:t xml:space="preserve">- Paragraph 8: </w:t>
      </w:r>
      <w:hyperlink r:id="rId9">
        <w:r>
          <w:rPr>
            <w:color w:val="0000EE"/>
            <w:u w:val="single"/>
          </w:rPr>
          <w:t>[2]</w:t>
        </w:r>
      </w:hyperlink>
      <w:r>
        <w:t xml:space="preserve">, </w:t>
      </w:r>
      <w:hyperlink r:id="rId13">
        <w:r>
          <w:rPr>
            <w:color w:val="0000EE"/>
            <w:u w:val="single"/>
          </w:rPr>
          <w:t>[4]</w:t>
        </w:r>
      </w:hyperlink>
      <w:r>
        <w:t xml:space="preserve">- Paragraph 9: </w:t>
      </w:r>
      <w:hyperlink r:id="rId9">
        <w:r>
          <w:rPr>
            <w:color w:val="0000EE"/>
            <w:u w:val="single"/>
          </w:rPr>
          <w:t>[2]</w:t>
        </w:r>
      </w:hyperlink>
      <w:r>
        <w:t xml:space="preserve">, </w:t>
      </w:r>
      <w:hyperlink r:id="rId10">
        <w:r>
          <w:rPr>
            <w:color w:val="0000EE"/>
            <w:u w:val="single"/>
          </w:rPr>
          <w:t>[7]</w:t>
        </w:r>
      </w:hyperlink>
      <w:r>
        <w:t xml:space="preserve">- Paragraph 10: </w:t>
      </w:r>
      <w:hyperlink r:id="rId9">
        <w:r>
          <w:rPr>
            <w:color w:val="0000EE"/>
            <w:u w:val="single"/>
          </w:rPr>
          <w:t>[2]</w:t>
        </w:r>
      </w:hyperlink>
      <w:r>
        <w:t xml:space="preserve">, </w:t>
      </w:r>
      <w:hyperlink r:id="rId11">
        <w:r>
          <w:rPr>
            <w:color w:val="0000EE"/>
            <w:u w:val="single"/>
          </w:rPr>
          <w:t>[3]</w:t>
        </w:r>
      </w:hyperlink>
      <w:r>
        <w:t xml:space="preserve">- Paragraph 11: </w:t>
      </w:r>
      <w:hyperlink r:id="rId9">
        <w:r>
          <w:rPr>
            <w:color w:val="0000EE"/>
            <w:u w:val="single"/>
          </w:rPr>
          <w:t>[2]</w:t>
        </w:r>
      </w:hyperlink>
      <w:r>
        <w:t xml:space="preserve">, </w:t>
      </w:r>
      <w:hyperlink r:id="rId14">
        <w:r>
          <w:rPr>
            <w:color w:val="0000EE"/>
            <w:u w:val="single"/>
          </w:rPr>
          <w:t>[5]</w:t>
        </w:r>
      </w:hyperlink>
      <w:r>
        <w:t xml:space="preserve">- Paragraph 12: </w:t>
      </w:r>
      <w:hyperlink r:id="rId9">
        <w:r>
          <w:rPr>
            <w:color w:val="0000EE"/>
            <w:u w:val="single"/>
          </w:rPr>
          <w:t>[2]</w:t>
        </w:r>
      </w:hyperlink>
      <w:r>
        <w:t xml:space="preserve">, </w:t>
      </w:r>
      <w:hyperlink r:id="rId10">
        <w:r>
          <w:rPr>
            <w:color w:val="0000EE"/>
            <w:u w:val="single"/>
          </w:rPr>
          <w:t>[7]</w:t>
        </w:r>
      </w:hyperlink>
      <w:r>
        <w:t xml:space="preserve">- Paragraph 13: </w:t>
      </w:r>
      <w:hyperlink r:id="rId9">
        <w:r>
          <w:rPr>
            <w:color w:val="0000EE"/>
            <w:u w:val="single"/>
          </w:rPr>
          <w:t>[2]</w:t>
        </w:r>
      </w:hyperlink>
      <w:r>
        <w:t xml:space="preserve">, </w:t>
      </w:r>
      <w:hyperlink r:id="rId12">
        <w:r>
          <w:rPr>
            <w:color w:val="0000EE"/>
            <w:u w:val="single"/>
          </w:rPr>
          <w:t>[6]</w:t>
        </w:r>
      </w:hyperlink>
      <w:r>
        <w:t xml:space="preserve">- Paragraph 14: </w:t>
      </w:r>
      <w:hyperlink r:id="rId9">
        <w:r>
          <w:rPr>
            <w:color w:val="0000EE"/>
            <w:u w:val="single"/>
          </w:rPr>
          <w:t>[2]</w:t>
        </w:r>
      </w:hyperlink>
      <w:r>
        <w:t xml:space="preserve">, </w:t>
      </w:r>
      <w:hyperlink r:id="rId10">
        <w:r>
          <w:rPr>
            <w:color w:val="0000EE"/>
            <w:u w:val="single"/>
          </w:rPr>
          <w:t>[7]</w:t>
        </w:r>
      </w:hyperlink>
      <w:r>
        <w:t xml:space="preserve">- Paragraph 15: </w:t>
      </w:r>
      <w:hyperlink r:id="rId9">
        <w:r>
          <w:rPr>
            <w:color w:val="0000EE"/>
            <w:u w:val="single"/>
          </w:rPr>
          <w:t>[2]</w:t>
        </w:r>
      </w:hyperlink>
      <w:r>
        <w:t xml:space="preserve">, </w:t>
      </w:r>
      <w:hyperlink r:id="rId13">
        <w:r>
          <w:rPr>
            <w:color w:val="0000EE"/>
            <w:u w:val="single"/>
          </w:rPr>
          <w:t>[4]</w:t>
        </w:r>
      </w:hyperlink>
      <w:r>
        <w:t xml:space="preserve">- Paragraph 16: </w:t>
      </w:r>
      <w:hyperlink r:id="rId9">
        <w:r>
          <w:rPr>
            <w:color w:val="0000EE"/>
            <w:u w:val="single"/>
          </w:rPr>
          <w:t>[2]</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https://bioengineer.org/brief-training-session-boosts-staff-confidence-in-transgender-inclusive-breast-cancer-screening/</w:t>
        </w:r>
      </w:hyperlink>
      <w:r>
        <w:t xml:space="preserve"> - Please view link - unable to able to access data</w:t>
      </w:r>
      <w:r/>
    </w:p>
    <w:p>
      <w:pPr>
        <w:pStyle w:val="ListNumber"/>
        <w:spacing w:line="240" w:lineRule="auto"/>
        <w:ind w:left="720"/>
      </w:pPr>
      <w:r/>
      <w:hyperlink r:id="rId9">
        <w:r>
          <w:rPr>
            <w:color w:val="0000EE"/>
            <w:u w:val="single"/>
          </w:rPr>
          <w:t>https://bioengineer.org/brief-training-session-boosts-staff-confidence-in-transgender-inclusive-breast-cancer-screening/</w:t>
        </w:r>
      </w:hyperlink>
      <w:r>
        <w:t xml:space="preserve"> - A 45-minute virtual training session can address a significant gap in cancer care by improving the experience of transgender and gender-diverse patients in breast imaging centres. A pilot study published in Cancer Causes &amp; Control found that a brief, story-driven educational session for the entire breast imaging team—ranging from schedulers to technologists and radiologists—substantially enhanced staff self-reported knowledge of LGBTQIA+ inclusive care. This is crucial, as transgender and gender-diverse individuals are often underscreened for breast cancer, primarily due to the anticipated discrimination they expect upon entering clinics.</w:t>
      </w:r>
      <w:r/>
    </w:p>
    <w:p>
      <w:pPr>
        <w:pStyle w:val="ListNumber"/>
        <w:spacing w:line="240" w:lineRule="auto"/>
        <w:ind w:left="720"/>
      </w:pPr>
      <w:r/>
      <w:hyperlink r:id="rId11">
        <w:r>
          <w:rPr>
            <w:color w:val="0000EE"/>
            <w:u w:val="single"/>
          </w:rPr>
          <w:t>https://bioengineer.org/barriers-hindering-transgender-organ-transplants-explored/</w:t>
        </w:r>
      </w:hyperlink>
      <w:r>
        <w:t xml:space="preserve"> - A recent study published in Current Transplant Reports highlights the multifaceted barriers transgender, gender-diverse, and nonbinary individuals face when seeking organ transplants. Issues such as policy constraints, societal stigma, and statistical underrepresentation exacerbate these challenges, underscoring the need for immediate attention from healthcare providers and policymakers to ensure equitable access to life-saving medical treatments for these communities.</w:t>
      </w:r>
      <w:r/>
    </w:p>
    <w:p>
      <w:pPr>
        <w:pStyle w:val="ListNumber"/>
        <w:spacing w:line="240" w:lineRule="auto"/>
        <w:ind w:left="720"/>
      </w:pPr>
      <w:r/>
      <w:hyperlink r:id="rId13">
        <w:r>
          <w:rPr>
            <w:color w:val="0000EE"/>
            <w:u w:val="single"/>
          </w:rPr>
          <w:t>https://bioengineer.org/study-finds-no-elevated-risk-of-gynecological-cancer-after-five-years-of-testosterone-use/</w:t>
        </w:r>
      </w:hyperlink>
      <w:r>
        <w:t xml:space="preserve"> - Groundbreaking research from Amsterdam University Medical Center indicates that transgender and gender-diverse individuals undergoing testosterone therapy for up to five years do not face an elevated risk of gynecological cancers. Published in eClinicalMedicine, this comprehensive study offers significant clinical insights, potentially influencing medical guidance and transgender healthcare practices globally, and providing reassurance to a community previously uncertain about the oncological risks associated with masculinising hormone therapy.</w:t>
      </w:r>
      <w:r/>
    </w:p>
    <w:p>
      <w:pPr>
        <w:pStyle w:val="ListNumber"/>
        <w:spacing w:line="240" w:lineRule="auto"/>
        <w:ind w:left="720"/>
      </w:pPr>
      <w:r/>
      <w:hyperlink r:id="rId14">
        <w:r>
          <w:rPr>
            <w:color w:val="0000EE"/>
            <w:u w:val="single"/>
          </w:rPr>
          <w:t>https://bioengineer.org/progesterone-supplementation-promotes-enhanced-breast-growth-in-gender-affirming-hormone-therapy/</w:t>
        </w:r>
      </w:hyperlink>
      <w:r>
        <w:t xml:space="preserve"> - A recent randomised controlled trial led by Amsterdam UMC demonstrates that adding progesterone to feminising hormone therapy significantly enhances breast growth in transgender individuals. Conducted over three years with 90 participants, this pivotal study, presented at the European Professional Association for Transgender Health (EPATH) annual congress in Hamburg, marks a transformative step in gender-affirming medical treatments, addressing the limitations of traditional hormone regimens that often fall short of aesthetic expectations.</w:t>
      </w:r>
      <w:r/>
    </w:p>
    <w:p>
      <w:pPr>
        <w:pStyle w:val="ListNumber"/>
        <w:spacing w:line="240" w:lineRule="auto"/>
        <w:ind w:left="720"/>
      </w:pPr>
      <w:r/>
      <w:hyperlink r:id="rId12">
        <w:r>
          <w:rPr>
            <w:color w:val="0000EE"/>
            <w:u w:val="single"/>
          </w:rPr>
          <w:t>https://bioengineer.org/study-reveals-limited-prescription-of-gender-affirming-medications-for-adolescents-in-the-us/</w:t>
        </w:r>
      </w:hyperlink>
      <w:r>
        <w:t xml:space="preserve"> - A study by researchers at the Harvard T.H. Chan School of Public Health, Harvard Pilgrim Health Care Institute, and FOLX Health reveals that less than 0.1% of U.S. adolescents aged 8 to 17 enrolled in private insurance plans were prescribed puberty blockers or gender-affirming hormones between 2018 and 2022. Notably, none of the transgender and gender-diverse patients under 12 received hormone therapies, challenging the narrative of widespread medical interventions for young children and providing clarity amidst ongoing policy debates.</w:t>
      </w:r>
      <w:r/>
    </w:p>
    <w:p>
      <w:pPr>
        <w:pStyle w:val="ListNumber"/>
        <w:spacing w:line="240" w:lineRule="auto"/>
        <w:ind w:left="720"/>
      </w:pPr>
      <w:r/>
      <w:hyperlink r:id="rId10">
        <w:r>
          <w:rPr>
            <w:color w:val="0000EE"/>
            <w:u w:val="single"/>
          </w:rPr>
          <w:t>https://bioengineer.org/improving-cancer-outcomes-for-lgbtq-patients-requires-earning-trust-and-challenging-assumptions/</w:t>
        </w:r>
      </w:hyperlink>
      <w:r>
        <w:t xml:space="preserve"> - Discussions at a recent conference highlighted that implicit and explicit biases, discrimination, and misunderstandings contribute to negative healthcare experiences for LGBTQ+ patients, leading to delays or avoidance of necessary care, including preventive cancer screenings. Research indicates that one-third of LGBTQ+ patients, and more than 60% of transgender patients, reported experiencing discrimination in healthcare settings, negatively affecting their physical and mental health and causing them to delay or avoid accessing care.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ioengineer.org/brief-training-session-boosts-staff-confidence-in-transgender-inclusive-breast-cancer-screening/" TargetMode="External"/><Relationship Id="rId10" Type="http://schemas.openxmlformats.org/officeDocument/2006/relationships/hyperlink" Target="https://bioengineer.org/improving-cancer-outcomes-for-lgbtq-patients-requires-earning-trust-and-challenging-assumptions/" TargetMode="External"/><Relationship Id="rId11" Type="http://schemas.openxmlformats.org/officeDocument/2006/relationships/hyperlink" Target="https://bioengineer.org/barriers-hindering-transgender-organ-transplants-explored/" TargetMode="External"/><Relationship Id="rId12" Type="http://schemas.openxmlformats.org/officeDocument/2006/relationships/hyperlink" Target="https://bioengineer.org/study-reveals-limited-prescription-of-gender-affirming-medications-for-adolescents-in-the-us/" TargetMode="External"/><Relationship Id="rId13" Type="http://schemas.openxmlformats.org/officeDocument/2006/relationships/hyperlink" Target="https://bioengineer.org/study-finds-no-elevated-risk-of-gynecological-cancer-after-five-years-of-testosterone-use/" TargetMode="External"/><Relationship Id="rId14" Type="http://schemas.openxmlformats.org/officeDocument/2006/relationships/hyperlink" Target="https://bioengineer.org/progesterone-supplementation-promotes-enhanced-breast-growth-in-gender-affirming-hormone-therap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