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Allahabad High Court Protects Hindu-Muslim Lesbian Couple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Hindu-Muslim lesbian couple in Uttar Pradesh has received police protection after telling the Allahabad High Court they faced threats from family members. The ruling reinforces the right of consenting adults to live together by choice, even without marriage, while highlighting the continuing risks faced by same-sex and interfaith couples.</w:t>
      </w:r>
      <w:r/>
    </w:p>
    <w:p>
      <w:pPr>
        <w:pStyle w:val="Heading2"/>
      </w:pPr>
      <w:r>
        <w:t>Essential Takeaways</w:t>
      </w:r>
      <w:r/>
      <w:r/>
    </w:p>
    <w:p>
      <w:pPr>
        <w:pStyle w:val="ListBullet"/>
        <w:spacing w:line="240" w:lineRule="auto"/>
        <w:ind w:left="720"/>
      </w:pPr>
      <w:r/>
      <w:r>
        <w:rPr>
          <w:b/>
        </w:rPr>
        <w:t>Police protection ordered:</w:t>
      </w:r>
      <w:r>
        <w:t xml:space="preserve"> Officers must respond if the couple faces obstruction or danger, after confirming they’re adults living together voluntarily.</w:t>
      </w:r>
      <w:r/>
    </w:p>
    <w:p>
      <w:pPr>
        <w:pStyle w:val="ListBullet"/>
        <w:spacing w:line="240" w:lineRule="auto"/>
        <w:ind w:left="720"/>
      </w:pPr>
      <w:r/>
      <w:r>
        <w:rPr>
          <w:b/>
        </w:rPr>
        <w:t>Consent was central:</w:t>
      </w:r>
      <w:r>
        <w:t xml:space="preserve"> The court found both women acted freely, without pressure, fear or undue influence.</w:t>
      </w:r>
      <w:r/>
    </w:p>
    <w:p>
      <w:pPr>
        <w:pStyle w:val="ListBullet"/>
        <w:spacing w:line="240" w:lineRule="auto"/>
        <w:ind w:left="720"/>
      </w:pPr>
      <w:r/>
      <w:r>
        <w:rPr>
          <w:b/>
        </w:rPr>
        <w:t>Family interference rejected:</w:t>
      </w:r>
      <w:r>
        <w:t xml:space="preserve"> Relatives and wider society have no legal right to violate the physical liberty of consenting adults.</w:t>
      </w:r>
      <w:r/>
    </w:p>
    <w:p>
      <w:pPr>
        <w:pStyle w:val="ListBullet"/>
        <w:spacing w:line="240" w:lineRule="auto"/>
        <w:ind w:left="720"/>
      </w:pPr>
      <w:r/>
      <w:r>
        <w:rPr>
          <w:b/>
        </w:rPr>
        <w:t>Marriage wasn’t required:</w:t>
      </w:r>
      <w:r>
        <w:t xml:space="preserve"> The absence of marital recognition didn’t justify denying safety or dignity.</w:t>
      </w:r>
      <w:r/>
    </w:p>
    <w:p>
      <w:pPr>
        <w:pStyle w:val="ListBullet"/>
        <w:spacing w:line="240" w:lineRule="auto"/>
        <w:ind w:left="720"/>
      </w:pPr>
      <w:r/>
      <w:r>
        <w:rPr>
          <w:b/>
        </w:rPr>
        <w:t>The case carries wider weight:</w:t>
      </w:r>
      <w:r>
        <w:t xml:space="preserve"> It links constitutional liberty with the everyday realities facing LGBTQ+ and interfaith couples.</w:t>
      </w:r>
      <w:r/>
      <w:r/>
    </w:p>
    <w:p>
      <w:pPr>
        <w:pStyle w:val="Heading2"/>
      </w:pPr>
      <w:r>
        <w:t>Court steps in after alleged family threats</w:t>
      </w:r>
      <w:r/>
    </w:p>
    <w:p>
      <w:r/>
      <w:r>
        <w:t>The case began with a deeply practical fear: two women wanted to live together, but alleged that family members posed a serious threat to their safety. Their relationship crossed both religious and sexual-identity lines, making the dispute especially sensitive in a social environment where relatives can exert enormous pressure.</w:t>
      </w:r>
      <w:r/>
    </w:p>
    <w:p>
      <w:r/>
      <w:r>
        <w:t>According to Bar and Bench, the Allahabad High Court directed Uttar Pradesh Police to provide protection if the women faced interference. The instruction followed the court's own interaction with the couple, rather than relying solely on the arguments presented by their lawyers.</w:t>
      </w:r>
      <w:r/>
    </w:p>
    <w:p>
      <w:r/>
      <w:r>
        <w:t>That human element matters. A protection order isn't a declaration that every family disagreement has disappeared. It is a clear reminder that adults shouldn't need to surrender their physical safety simply because relatives disapprove of their choices.</w:t>
      </w:r>
      <w:r/>
    </w:p>
    <w:p>
      <w:pPr>
        <w:pStyle w:val="Heading2"/>
      </w:pPr>
      <w:r>
        <w:t>Consent, not convention, drove the decision</w:t>
      </w:r>
      <w:r/>
    </w:p>
    <w:p>
      <w:r/>
      <w:r>
        <w:t>Justice Dr Gautam Chowdhary found that both petitioners were adults and understood their own wellbeing. The court also concluded that they had chosen to live together voluntarily, without coercion or outside influence.</w:t>
      </w:r>
      <w:r/>
    </w:p>
    <w:p>
      <w:r/>
      <w:r>
        <w:t>Outlook India reported that the State opposed the plea, arguing that same-sex relationships lacked social acceptance and conflicted with traditional ideas of family. The court, however, placed individual liberty above those objections.</w:t>
      </w:r>
      <w:r/>
    </w:p>
    <w:p>
      <w:r/>
      <w:r>
        <w:t>That distinction is crucial. Social discomfort may explain why a couple seeks protection, but it can't become a legal licence for intimidation. As the court's reasoning makes clear, personal freedom doesn't depend on winning approval from relatives, neighbours or society at large.</w:t>
      </w:r>
      <w:r/>
    </w:p>
    <w:p>
      <w:pPr>
        <w:pStyle w:val="Heading2"/>
      </w:pPr>
      <w:r>
        <w:t>What the ruling says about live-in relationships</w:t>
      </w:r>
      <w:r/>
    </w:p>
    <w:p>
      <w:r/>
      <w:r>
        <w:t>The order builds on Supreme Court principles recognising that adult citizens can choose to live together. As Indian Express explained in its legal analysis, the right to share a home and life isn't restricted to couples who have formalised their relationship through marriage.</w:t>
      </w:r>
      <w:r/>
    </w:p>
    <w:p>
      <w:r/>
      <w:r>
        <w:t>The High Court also rejected the idea that a lack of marital recognition makes interference acceptable. In practical terms, a couple doesn't lose the right to dignity or bodily safety because the law doesn't treat their relationship as a marriage.</w:t>
      </w:r>
      <w:r/>
    </w:p>
    <w:p>
      <w:r/>
      <w:r>
        <w:t>That is particularly significant for LGBTQ+ couples. Marriage may remain unavailable or uncertain in many legal contexts, but safety cannot be made conditional on receiving a status the law may not provide.</w:t>
      </w:r>
      <w:r/>
    </w:p>
    <w:p>
      <w:pPr>
        <w:pStyle w:val="Heading2"/>
      </w:pPr>
      <w:r>
        <w:t>Why interfaith and same-sex identity both matter</w:t>
      </w:r>
      <w:r/>
    </w:p>
    <w:p>
      <w:r/>
      <w:r>
        <w:t>This was not simply a dispute about living arrangements. The couple were Hindu and Muslim, and they were both women. Those overlapping identities can expose partners to several layers of scrutiny, from religious prejudice to hostility towards same-sex relationships.</w:t>
      </w:r>
      <w:r/>
    </w:p>
    <w:p>
      <w:r/>
      <w:r>
        <w:t>NDTV reported on the court's treatment of the couple's interfaith relationship and its refusal to let social objections override their constitutional freedoms. The message is refreshingly direct: private choices don't become unlawful because they cross familiar community boundaries.</w:t>
      </w:r>
      <w:r/>
    </w:p>
    <w:p>
      <w:r/>
      <w:r>
        <w:t>For couples in similar situations, the practical lesson is less dramatic but important. Keep records of threats, seek legal advice promptly and contact local authorities if there is an immediate danger. A court order can help, but urgent safety concerns still need a fast response from police and trusted support networks.</w:t>
      </w:r>
      <w:r/>
    </w:p>
    <w:p>
      <w:pPr>
        <w:pStyle w:val="Heading2"/>
      </w:pPr>
      <w:r>
        <w:t>A modest order with a wider message</w:t>
      </w:r>
      <w:r/>
    </w:p>
    <w:p>
      <w:r/>
      <w:r>
        <w:t>The protection was not automatic in every circumstance. Police were told to verify that both women were adults and living together willingly before taking action. That safeguard reflects the court's focus on genuine consent rather than making assumptions about the relationship.</w:t>
      </w:r>
      <w:r/>
    </w:p>
    <w:p>
      <w:r/>
      <w:r>
        <w:t>Bar and Bench also noted that the order was delivered in Hindi, making the court's reasoning more accessible to the people directly involved. That may sound like a small detail, but legal protection is far more meaningful when those affected can understand it clearly.</w:t>
      </w:r>
      <w:r/>
    </w:p>
    <w:p>
      <w:r/>
      <w:r>
        <w:t>The case won't erase family pressure or social prejudice overnight. Still, it offers a firm constitutional line: disapproval is not permission to threaten, obstruct or endanger consenting adults.</w:t>
      </w:r>
      <w:r/>
    </w:p>
    <w:p>
      <w:r/>
      <w:r>
        <w:t>It's a small courtroom order carrying a remarkably human message: safety comes before social approval.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[7]</w:t>
        </w:r>
      </w:hyperlink>
      <w:r>
        <w:t xml:space="preserve">- Paragraph 3: </w:t>
      </w:r>
      <w:hyperlink r:id="rId13">
        <w:r>
          <w:rPr>
            <w:color w:val="0000EE"/>
            <w:u w:val="single"/>
          </w:rPr>
          <w:t>[4]</w:t>
        </w:r>
      </w:hyperlink>
      <w:r>
        <w:t xml:space="preserve">, </w:t>
      </w:r>
      <w:hyperlink r:id="rId14">
        <w:r>
          <w:rPr>
            <w:color w:val="0000EE"/>
            <w:u w:val="single"/>
          </w:rPr>
          <w:t>[6]</w:t>
        </w:r>
      </w:hyperlink>
      <w:r>
        <w:t xml:space="preserve">- Paragraph 4: </w:t>
      </w:r>
      <w:hyperlink r:id="rId15">
        <w:r>
          <w:rPr>
            <w:color w:val="0000EE"/>
            <w:u w:val="single"/>
          </w:rPr>
          <w:t>[5]</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3">
        <w:r>
          <w:rPr>
            <w:color w:val="0000EE"/>
            <w:u w:val="single"/>
          </w:rPr>
          <w:t>[4]</w:t>
        </w:r>
      </w:hyperlink>
      <w:r>
        <w:t xml:space="preserve">- Paragraph 6: </w:t>
      </w:r>
      <w:hyperlink r:id="rId15">
        <w:r>
          <w:rPr>
            <w:color w:val="0000EE"/>
            <w:u w:val="single"/>
          </w:rPr>
          <w:t>[5]</w:t>
        </w:r>
      </w:hyperlink>
      <w:r>
        <w:t xml:space="preserve">, </w:t>
      </w:r>
      <w:hyperlink r:id="rId12">
        <w:r>
          <w:rPr>
            <w:color w:val="0000EE"/>
            <w:u w:val="single"/>
          </w:rPr>
          <w:t>[7]</w:t>
        </w:r>
      </w:hyperlink>
      <w:r>
        <w:t xml:space="preserve">- Paragraph 7: </w:t>
      </w:r>
      <w:hyperlink r:id="rId13">
        <w:r>
          <w:rPr>
            <w:color w:val="0000EE"/>
            <w:u w:val="single"/>
          </w:rPr>
          <w:t>[4]</w:t>
        </w:r>
      </w:hyperlink>
      <w:r>
        <w:t xml:space="preserve">, </w:t>
      </w:r>
      <w:hyperlink r:id="rId14">
        <w:r>
          <w:rPr>
            <w:color w:val="0000EE"/>
            <w:u w:val="single"/>
          </w:rPr>
          <w:t>[6]</w:t>
        </w:r>
      </w:hyperlink>
      <w:r>
        <w:t xml:space="preserve">- Paragraph 8: </w:t>
      </w:r>
      <w:hyperlink r:id="rId11">
        <w:r>
          <w:rPr>
            <w:color w:val="0000EE"/>
            <w:u w:val="single"/>
          </w:rPr>
          <w:t>[3]</w:t>
        </w:r>
      </w:hyperlink>
      <w:r>
        <w:t xml:space="preserve">, </w:t>
      </w:r>
      <w:hyperlink r:id="rId15">
        <w:r>
          <w:rPr>
            <w:color w:val="0000EE"/>
            <w:u w:val="single"/>
          </w:rPr>
          <w:t>[5]</w:t>
        </w:r>
      </w:hyperlink>
      <w:r>
        <w:t xml:space="preserve">- Paragraph 9: </w:t>
      </w:r>
      <w:hyperlink r:id="rId10">
        <w:r>
          <w:rPr>
            <w:color w:val="0000EE"/>
            <w:u w:val="single"/>
          </w:rPr>
          <w:t>[2]</w:t>
        </w:r>
      </w:hyperlink>
      <w:r>
        <w:t xml:space="preserve">, </w:t>
      </w:r>
      <w:hyperlink r:id="rId12">
        <w:r>
          <w:rPr>
            <w:color w:val="0000EE"/>
            <w:u w:val="single"/>
          </w:rPr>
          <w:t>[7]</w:t>
        </w:r>
      </w:hyperlink>
      <w:r>
        <w:t xml:space="preserve">- Paragraph 10: </w:t>
      </w:r>
      <w:hyperlink r:id="rId13">
        <w:r>
          <w:rPr>
            <w:color w:val="0000EE"/>
            <w:u w:val="single"/>
          </w:rPr>
          <w:t>[4]</w:t>
        </w:r>
      </w:hyperlink>
      <w:r>
        <w:t xml:space="preserve">, </w:t>
      </w:r>
      <w:hyperlink r:id="rId14">
        <w:r>
          <w:rPr>
            <w:color w:val="0000EE"/>
            <w:u w:val="single"/>
          </w:rPr>
          <w:t>[6]</w:t>
        </w:r>
      </w:hyperlink>
      <w:r>
        <w:t xml:space="preserve">- Paragraph 11: </w:t>
      </w:r>
      <w:hyperlink r:id="rId15">
        <w:r>
          <w:rPr>
            <w:color w:val="0000EE"/>
            <w:u w:val="single"/>
          </w:rPr>
          <w:t>[5]</w:t>
        </w:r>
      </w:hyperlink>
      <w:r>
        <w:t xml:space="preserve">, </w:t>
      </w:r>
      <w:hyperlink r:id="rId12">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https://indialegallive.com/constitutional-law-news/courts-news/allahabad-high-court-directs-up-police-to-protect-hindu-muslim-lesbian-couple-in-live-in-relationship/</w:t>
        </w:r>
      </w:hyperlink>
      <w:r>
        <w:t xml:space="preserve"> - Please view link - unable to able to access data</w:t>
      </w:r>
      <w:r/>
    </w:p>
    <w:p>
      <w:pPr>
        <w:pStyle w:val="ListNumber"/>
        <w:spacing w:line="240" w:lineRule="auto"/>
        <w:ind w:left="720"/>
      </w:pPr>
      <w:r/>
      <w:hyperlink r:id="rId10">
        <w:r>
          <w:rPr>
            <w:color w:val="0000EE"/>
            <w:u w:val="single"/>
          </w:rPr>
          <w:t>https://www.barandbench.com/news/allahabad-high-court-orders-police-to-ensure-protection-of-hindu-muslim-lesbian-couple</w:t>
        </w:r>
      </w:hyperlink>
      <w:r>
        <w:t xml:space="preserve"> - The Allahabad High Court has directed the Uttar Pradesh Police to ensure protection for a Hindu-Muslim lesbian couple whose live-in relationship was being threatened by their family members. Justice Dr Gautam Chowdhary observed that the couple has the freedom to peacefully live together without any interference from their family members or any other person. The Court found that both of them are fully capable of understanding their well-being and that their decision was based on free consent. Accordingly, the Court directed that in case of any obstacle to the couple's live-in relationship, the police shall immediately provide security to them after verifying that they are major and living together voluntarily.</w:t>
      </w:r>
      <w:r/>
    </w:p>
    <w:p>
      <w:pPr>
        <w:pStyle w:val="ListNumber"/>
        <w:spacing w:line="240" w:lineRule="auto"/>
        <w:ind w:left="720"/>
      </w:pPr>
      <w:r/>
      <w:hyperlink r:id="rId11">
        <w:r>
          <w:rPr>
            <w:color w:val="0000EE"/>
            <w:u w:val="single"/>
          </w:rPr>
          <w:t>https://www.outlookindia.com/national/allahabad-hc-protects-hindu-muslim-lesbian-couple-facing-family-threats</w:t>
        </w:r>
      </w:hyperlink>
      <w:r>
        <w:t xml:space="preserve"> - The Allahabad High Court has directed Uttar Pradesh Police to protect a Hindu-Muslim lesbian couple from threats or interference after finding that both women had voluntarily chosen to live together. The Court said two consenting adults have the right to live together without interference from family or society. Police must verify that both women are majors and living together voluntarily before providing security.</w:t>
      </w:r>
      <w:r/>
    </w:p>
    <w:p>
      <w:pPr>
        <w:pStyle w:val="ListNumber"/>
        <w:spacing w:line="240" w:lineRule="auto"/>
        <w:ind w:left="720"/>
      </w:pPr>
      <w:r/>
      <w:hyperlink r:id="rId13">
        <w:r>
          <w:rPr>
            <w:color w:val="0000EE"/>
            <w:u w:val="single"/>
          </w:rPr>
          <w:t>https://www.ndtv.com/india-news/allahabad-high-court-court-doesnt-see-hindu-muslim-a-ruling-for-interfaith-couple-in-live-in-11284504/amp/1</w:t>
        </w:r>
      </w:hyperlink>
      <w:r>
        <w:t xml:space="preserve"> - The Allahabad High Court has stated that it does not view an interfaith couple as Hindu and Muslim but as two grown-up individuals living together happily, emphasising that the Constitution protects an interfaith couple in a live-in relationship. The Court observed that the right to live with a person of one's choice is intrinsic to the right to life and personal liberty under Article 21, and that interference in a personal relationship would constitute a serious encroachment on the freedom of choice of the two individuals.</w:t>
      </w:r>
      <w:r/>
    </w:p>
    <w:p>
      <w:pPr>
        <w:pStyle w:val="ListNumber"/>
        <w:spacing w:line="240" w:lineRule="auto"/>
        <w:ind w:left="720"/>
      </w:pPr>
      <w:r/>
      <w:hyperlink r:id="rId15">
        <w:r>
          <w:rPr>
            <w:color w:val="0000EE"/>
            <w:u w:val="single"/>
          </w:rPr>
          <w:t>https://www.barandbench.com/news/litigation/supreme-court-live-in-relationships-allahabad-high-court-interfaith-couple</w:t>
        </w:r>
      </w:hyperlink>
      <w:r>
        <w:t xml:space="preserve"> - The Allahabad High Court recently denied protection to an inter-faith couple in a live-in relationship, while noting that the Supreme Court has not promoted live-in relationships, even if it may have accepted such relations to be a social reality. The Court observed that law has traditionally been in favour of marriage and that the Supreme Court did not have any intention to unravel the fabric of Indian family life when it made observations on live-in relations in various cases.</w:t>
      </w:r>
      <w:r/>
    </w:p>
    <w:p>
      <w:pPr>
        <w:pStyle w:val="ListNumber"/>
        <w:spacing w:line="240" w:lineRule="auto"/>
        <w:ind w:left="720"/>
      </w:pPr>
      <w:r/>
      <w:hyperlink r:id="rId14">
        <w:r>
          <w:rPr>
            <w:color w:val="0000EE"/>
            <w:u w:val="single"/>
          </w:rPr>
          <w:t>https://indianexpress.com/article/explained/explained-law/allahabad-hc-interfaith-live-in-relationships-10552916/</w:t>
        </w:r>
      </w:hyperlink>
      <w:r>
        <w:t xml:space="preserve"> - The Allahabad High Court on Monday held that the Uttar Pradesh Prohibition of Unlawful Conversion of Religion Act, 2021, neither prohibits interfaith marriages nor bars such couples from living together in a live-in relationship, legal news website Bar and Bench reported. Justice Vivek Kumar Singh observed that courts do not see such couples as Hindu or Muslim, but rather as two grown individuals who, of their own free will, have been living together peacefully and happily for a considerable time.</w:t>
      </w:r>
      <w:r/>
    </w:p>
    <w:p>
      <w:pPr>
        <w:pStyle w:val="ListNumber"/>
        <w:spacing w:line="240" w:lineRule="auto"/>
        <w:ind w:left="720"/>
      </w:pPr>
      <w:r/>
      <w:hyperlink r:id="rId12">
        <w:r>
          <w:rPr>
            <w:color w:val="0000EE"/>
            <w:u w:val="single"/>
          </w:rPr>
          <w:t>https://indianexpress.com/article/legal-news/life-threat-allahabad-high-court-interfaith-couple-live-together-10851851/</w:t>
        </w:r>
      </w:hyperlink>
      <w:r>
        <w:t xml:space="preserve"> - The live-in relationship of an interfaith couple is protected under Articles 14, 15 and 21 of the Constitution, the Allahabad High Court has stated while allowing a plea by a couple who said they faced threats to their life. The court directed the police to examine their complaint if filed. Justice Vivek Kumar Singh observed that the right to live with a person of his or her choice, irrespective of the religion professed, is intrinsic to the right to life and personal liberty, and that interference in a personal relationship would constitute a serious encroachment on the freedom of choice of the two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dialegallive.com/constitutional-law-news/courts-news/allahabad-high-court-directs-up-police-to-protect-hindu-muslim-lesbian-couple-in-live-in-relationship/" TargetMode="External"/><Relationship Id="rId10" Type="http://schemas.openxmlformats.org/officeDocument/2006/relationships/hyperlink" Target="https://www.barandbench.com/news/allahabad-high-court-orders-police-to-ensure-protection-of-hindu-muslim-lesbian-couple" TargetMode="External"/><Relationship Id="rId11" Type="http://schemas.openxmlformats.org/officeDocument/2006/relationships/hyperlink" Target="https://www.outlookindia.com/national/allahabad-hc-protects-hindu-muslim-lesbian-couple-facing-family-threats" TargetMode="External"/><Relationship Id="rId12" Type="http://schemas.openxmlformats.org/officeDocument/2006/relationships/hyperlink" Target="https://indianexpress.com/article/legal-news/life-threat-allahabad-high-court-interfaith-couple-live-together-10851851/" TargetMode="External"/><Relationship Id="rId13" Type="http://schemas.openxmlformats.org/officeDocument/2006/relationships/hyperlink" Target="https://www.ndtv.com/india-news/allahabad-high-court-court-doesnt-see-hindu-muslim-a-ruling-for-interfaith-couple-in-live-in-11284504/amp/1" TargetMode="External"/><Relationship Id="rId14" Type="http://schemas.openxmlformats.org/officeDocument/2006/relationships/hyperlink" Target="https://indianexpress.com/article/explained/explained-law/allahabad-hc-interfaith-live-in-relationships-10552916/" TargetMode="External"/><Relationship Id="rId15" Type="http://schemas.openxmlformats.org/officeDocument/2006/relationships/hyperlink" Target="https://www.barandbench.com/news/litigation/supreme-court-live-in-relationships-allahabad-high-court-interfaith-coup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