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Why EU Caution Matters After Türkiye’s LGBT+ Crackdown</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Rights groups and European officials have reacted cautiously to Türkiye’s latest LGBT+ arrests, prompting a bigger question about what modern “soft power” really looks like. As people are detained and civil society organisations face pressure, Europe’s restrained language reveals how security, migration and digital influence increasingly shape international politics.</w:t>
      </w:r>
      <w:r/>
    </w:p>
    <w:p>
      <w:pPr>
        <w:pStyle w:val="Heading2"/>
      </w:pPr>
      <w:r>
        <w:t>Essential Takeaways</w:t>
      </w:r>
      <w:r/>
      <w:r/>
    </w:p>
    <w:p>
      <w:pPr>
        <w:pStyle w:val="ListBullet"/>
        <w:spacing w:line="240" w:lineRule="auto"/>
        <w:ind w:left="720"/>
      </w:pPr>
      <w:r/>
      <w:r>
        <w:rPr>
          <w:b/>
        </w:rPr>
        <w:t>A wave of arrests:</w:t>
      </w:r>
      <w:r>
        <w:t xml:space="preserve"> Turkish authorities detained and prosecuted numerous people during operations targeting LGBT+ activists and organisations.</w:t>
      </w:r>
      <w:r/>
    </w:p>
    <w:p>
      <w:pPr>
        <w:pStyle w:val="ListBullet"/>
        <w:spacing w:line="240" w:lineRule="auto"/>
        <w:ind w:left="720"/>
      </w:pPr>
      <w:r/>
      <w:r>
        <w:rPr>
          <w:b/>
        </w:rPr>
        <w:t>Muted European response:</w:t>
      </w:r>
      <w:r>
        <w:t xml:space="preserve"> EU officials expressed concern, but avoided the forceful condemnation many expected.</w:t>
      </w:r>
      <w:r/>
    </w:p>
    <w:p>
      <w:pPr>
        <w:pStyle w:val="ListBullet"/>
        <w:spacing w:line="240" w:lineRule="auto"/>
        <w:ind w:left="720"/>
      </w:pPr>
      <w:r/>
      <w:r>
        <w:rPr>
          <w:b/>
        </w:rPr>
        <w:t>A changing model:</w:t>
      </w:r>
      <w:r>
        <w:t xml:space="preserve"> Traditional grants and NGO partnerships are losing ground to digital platforms, data and artificial intelligence.</w:t>
      </w:r>
      <w:r/>
    </w:p>
    <w:p>
      <w:pPr>
        <w:pStyle w:val="ListBullet"/>
        <w:spacing w:line="240" w:lineRule="auto"/>
        <w:ind w:left="720"/>
      </w:pPr>
      <w:r/>
      <w:r>
        <w:rPr>
          <w:b/>
        </w:rPr>
        <w:t>Civil society under pressure:</w:t>
      </w:r>
      <w:r>
        <w:t xml:space="preserve"> State-backed groups and government-linked funding can blur the line between independent activism and official influence.</w:t>
      </w:r>
      <w:r/>
    </w:p>
    <w:p>
      <w:pPr>
        <w:pStyle w:val="ListBullet"/>
        <w:spacing w:line="240" w:lineRule="auto"/>
        <w:ind w:left="720"/>
      </w:pPr>
      <w:r/>
      <w:r>
        <w:rPr>
          <w:b/>
        </w:rPr>
        <w:t>Rights still matter:</w:t>
      </w:r>
      <w:r>
        <w:t xml:space="preserve"> Cautious diplomacy doesn't remove the need for transparency, legal safeguards and accountability.</w:t>
      </w:r>
      <w:r/>
      <w:r/>
    </w:p>
    <w:p>
      <w:pPr>
        <w:pStyle w:val="Heading2"/>
      </w:pPr>
      <w:r>
        <w:t>The arrests put Europe’s diplomacy under the microscope</w:t>
      </w:r>
      <w:r/>
    </w:p>
    <w:p>
      <w:r/>
      <w:r>
        <w:t xml:space="preserve">The latest operations against LGBT+ activists in Türkiye have created a grim, unsettling picture: arrests, criminal investigations and a climate in which public expression can feel increasingly risky. Rights organisations and international observers have raised concerns about the treatment of those detained, while Turkish officials have framed the issue through family and public-order arguments. Euronews reported that both the EU and the United States urged respect for fundamental rights and warned against restrictions targeting LGBT+ people. </w:t>
      </w:r>
      <w:hyperlink r:id="rId9">
        <w:r>
          <w:rPr>
            <w:color w:val="0000EE"/>
            <w:u w:val="single"/>
          </w:rPr>
          <w:t>[4]</w:t>
        </w:r>
      </w:hyperlink>
      <w:r/>
    </w:p>
    <w:p>
      <w:r/>
      <w:r>
        <w:t xml:space="preserve">The immediate reaction from Brussels, however, was notably restrained. Euronews described the EU as expressing concern about developments in Türkiye, while stopping short of the kind of sharp political condemnation that campaigners often seek. </w:t>
      </w:r>
      <w:hyperlink r:id="rId10">
        <w:r>
          <w:rPr>
            <w:color w:val="0000EE"/>
            <w:u w:val="single"/>
          </w:rPr>
          <w:t>[5]</w:t>
        </w:r>
      </w:hyperlink>
      <w:r>
        <w:t xml:space="preserve"> That careful wording matters because diplomatic language is rarely accidental. “Concern” can signal unease, but it can also leave governments considerable room to continue doing business.</w:t>
      </w:r>
      <w:r/>
    </w:p>
    <w:p>
      <w:pPr>
        <w:pStyle w:val="Heading2"/>
      </w:pPr>
      <w:r>
        <w:t>Why is Brussels choosing caution?</w:t>
      </w:r>
      <w:r/>
    </w:p>
    <w:p>
      <w:r/>
      <w:r>
        <w:t>There are obvious strategic reasons for Europe to avoid a full-scale confrontation with Ankara. Türkiye remains important on migration, regional security, trade and relations around the Black Sea and Middle East. A stronger rebuke could satisfy human-rights advocates while making cooperation on other fronts more difficult.</w:t>
      </w:r>
      <w:r/>
    </w:p>
    <w:p>
      <w:r/>
      <w:r>
        <w:t xml:space="preserve">The United Nations has also called for people detained during the operations to be released, according to Euronews. </w:t>
      </w:r>
      <w:hyperlink r:id="rId11">
        <w:r>
          <w:rPr>
            <w:color w:val="0000EE"/>
            <w:u w:val="single"/>
          </w:rPr>
          <w:t>[6]</w:t>
        </w:r>
      </w:hyperlink>
      <w:r>
        <w:t xml:space="preserve"> That puts international pressure on Ankara, but it also highlights a familiar problem: statements can be clear while consequences remain uncertain. For those facing detention, that gap between principle and practical protection must feel painfully wide.</w:t>
      </w:r>
      <w:r/>
    </w:p>
    <w:p>
      <w:r/>
      <w:r>
        <w:t xml:space="preserve">The contrast has not gone unnoticed in Turkish commentary. Reporting from Turkinform characterised the arrests as a matter of concern and focused on the EU’s reaction, reflecting wider debate over whether European governments are willing to defend the groups they previously supported. </w:t>
      </w:r>
      <w:hyperlink r:id="rId12">
        <w:r>
          <w:rPr>
            <w:color w:val="0000EE"/>
            <w:u w:val="single"/>
          </w:rPr>
          <w:t>[7]</w:t>
        </w:r>
      </w:hyperlink>
      <w:r>
        <w:t xml:space="preserve"> It’s a fair question, even if the answer is tangled in geopolitics.</w:t>
      </w:r>
      <w:r/>
    </w:p>
    <w:p>
      <w:pPr>
        <w:pStyle w:val="Heading2"/>
      </w:pPr>
      <w:r>
        <w:t>The old civil-society playbook is fading</w:t>
      </w:r>
      <w:r/>
    </w:p>
    <w:p>
      <w:r/>
      <w:r>
        <w:t>For decades, Western governments treated non-governmental organisations as important partners in promoting democracy, rights and political pluralism. In the years after the Cold War, funding networks, advocacy groups and civic initiatives became central to how Europe and the United States projected influence abroad.</w:t>
      </w:r>
      <w:r/>
    </w:p>
    <w:p>
      <w:r/>
      <w:r>
        <w:t xml:space="preserve">That model is now under strain. The lead analysis argues that the era in which civil society represented a major ideological tool of Western power is fading, with traditional funding mechanisms losing influence as governments focus more heavily on security, technology and strategic competition. The closure of USAID, described in the analysis as part of this shift, has become a powerful symbol of that retreat. </w:t>
      </w:r>
      <w:hyperlink r:id="rId13">
        <w:r>
          <w:rPr>
            <w:color w:val="0000EE"/>
            <w:u w:val="single"/>
          </w:rPr>
          <w:t>[1]</w:t>
        </w:r>
      </w:hyperlink>
      <w:r/>
    </w:p>
    <w:p>
      <w:r/>
      <w:r>
        <w:t>The argument isn't that charities, campaigners or rights groups have suddenly become irrelevant. Rather, the political environment around them has changed. Digital platforms, large technology companies, data collection and artificial intelligence now offer governments faster and broader ways to shape public opinion. A grant-funded organisation may work patiently in one community; an algorithm can reach millions before breakfast.</w:t>
      </w:r>
      <w:r/>
    </w:p>
    <w:p>
      <w:pPr>
        <w:pStyle w:val="Heading2"/>
      </w:pPr>
      <w:r>
        <w:t>Funding can blur independence</w:t>
      </w:r>
      <w:r/>
    </w:p>
    <w:p>
      <w:r/>
      <w:r>
        <w:t>There’s another complication: the phrase “civil society” sounds independent, but funding arrangements can make that independence harder to judge. Organisations supported by governments, public agencies or political networks may still do valuable work, yet their room to challenge those same funders can be limited.</w:t>
      </w:r>
      <w:r/>
    </w:p>
    <w:p>
      <w:r/>
      <w:r>
        <w:t xml:space="preserve">The lead analysis points to government-organised NGOs, or GONGOs, as a growing feature of political life in Türkiye and Europe. It argues that groups reliant on state or EU money can become part of an official influence ecosystem, rather than acting as fully independent watchdogs. </w:t>
      </w:r>
      <w:hyperlink r:id="rId13">
        <w:r>
          <w:rPr>
            <w:color w:val="0000EE"/>
            <w:u w:val="single"/>
          </w:rPr>
          <w:t>[1]</w:t>
        </w:r>
      </w:hyperlink>
      <w:r>
        <w:t xml:space="preserve"> That doesn't make every publicly funded organisation illegitimate, but it does make transparency essential.</w:t>
      </w:r>
      <w:r/>
    </w:p>
    <w:p>
      <w:r/>
      <w:r>
        <w:t xml:space="preserve">The issue is especially sensitive when governments fund organisations abroad and then remain quiet when those groups face repression. The Associated Press reports supplied alongside this story provide further context on the international response and the wider diplomatic environment around the arrests. </w:t>
      </w:r>
      <w:hyperlink r:id="rId14">
        <w:r>
          <w:rPr>
            <w:color w:val="0000EE"/>
            <w:u w:val="single"/>
          </w:rPr>
          <w:t>[2]</w:t>
        </w:r>
      </w:hyperlink>
      <w:r>
        <w:t xml:space="preserve"> </w:t>
      </w:r>
      <w:hyperlink r:id="rId15">
        <w:r>
          <w:rPr>
            <w:color w:val="0000EE"/>
            <w:u w:val="single"/>
          </w:rPr>
          <w:t>[3]</w:t>
        </w:r>
      </w:hyperlink>
      <w:r>
        <w:t xml:space="preserve"> Readers should look closely at who funds an organisation, what safeguards exist and whether it can criticise its benefactors without risking support.</w:t>
      </w:r>
      <w:r/>
    </w:p>
    <w:p>
      <w:pPr>
        <w:pStyle w:val="Heading2"/>
      </w:pPr>
      <w:r>
        <w:t>Rights advocacy meets a harder, more militarised world</w:t>
      </w:r>
      <w:r/>
    </w:p>
    <w:p>
      <w:r/>
      <w:r>
        <w:t xml:space="preserve">Europe is also operating in a more anxious political climate. Defence spending, border controls and strategic rivalry increasingly dominate public debate, leaving democratic reform and minority rights competing for attention. The lead analysis describes this as a shift away from persuasion through liberal-democratic ideals and towards fear, militarisation and technological control. </w:t>
      </w:r>
      <w:hyperlink r:id="rId13">
        <w:r>
          <w:rPr>
            <w:color w:val="0000EE"/>
            <w:u w:val="single"/>
          </w:rPr>
          <w:t>[1]</w:t>
        </w:r>
      </w:hyperlink>
      <w:r/>
    </w:p>
    <w:p>
      <w:r/>
      <w:r>
        <w:t xml:space="preserve">That may help explain why European capitals often issue carefully calibrated statements rather than threatening meaningful penalties. They may still consider LGBT+ rights important, but not important enough to endanger cooperation on migration or security. AP coverage included in the source material adds to the picture of a response shaped by international diplomacy rather than outrage alone. </w:t>
      </w:r>
      <w:hyperlink r:id="rId14">
        <w:r>
          <w:rPr>
            <w:color w:val="0000EE"/>
            <w:u w:val="single"/>
          </w:rPr>
          <w:t>[2]</w:t>
        </w:r>
      </w:hyperlink>
      <w:r>
        <w:t xml:space="preserve"> </w:t>
      </w:r>
      <w:hyperlink r:id="rId15">
        <w:r>
          <w:rPr>
            <w:color w:val="0000EE"/>
            <w:u w:val="single"/>
          </w:rPr>
          <w:t>[3]</w:t>
        </w:r>
      </w:hyperlink>
      <w:r/>
    </w:p>
    <w:p>
      <w:r/>
      <w:r>
        <w:t xml:space="preserve">Still, caution has a human cost. People facing arrest don't experience diplomatic nuance as nuance; they experience it as uncertainty. As the EU, United States and United Nations respond, the practical test will be whether their words lead to monitoring, legal support and sustained pressure, rather than disappearing into the news cycle. </w:t>
      </w:r>
      <w:hyperlink r:id="rId9">
        <w:r>
          <w:rPr>
            <w:color w:val="0000EE"/>
            <w:u w:val="single"/>
          </w:rPr>
          <w:t>[4]</w:t>
        </w:r>
      </w:hyperlink>
      <w:r>
        <w:t xml:space="preserve"> </w:t>
      </w:r>
      <w:hyperlink r:id="rId11">
        <w:r>
          <w:rPr>
            <w:color w:val="0000EE"/>
            <w:u w:val="single"/>
          </w:rPr>
          <w:t>[6]</w:t>
        </w:r>
      </w:hyperlink>
      <w:r/>
    </w:p>
    <w:p>
      <w:pPr>
        <w:pStyle w:val="Heading2"/>
      </w:pPr>
      <w:r>
        <w:t>What happens to civil society next?</w:t>
      </w:r>
      <w:r/>
    </w:p>
    <w:p>
      <w:r/>
      <w:r>
        <w:t>The likely future is not the disappearance of NGOs, but a more complicated and less romantic version of civil society. Organisations will continue to provide legal help, emergency support, research and community spaces, yet they may operate under heavier regulation and closer scrutiny.</w:t>
      </w:r>
      <w:r/>
    </w:p>
    <w:p>
      <w:r/>
      <w:r>
        <w:t xml:space="preserve">European institutions may also keep funding civic groups, even as they become more cautious about confrontation with partner governments. The lead analysis suggests that civil society is unlikely to regain the symbolic power it held in the 1990s, when it was widely presented as a defining force against authoritarianism. </w:t>
      </w:r>
      <w:hyperlink r:id="rId13">
        <w:r>
          <w:rPr>
            <w:color w:val="0000EE"/>
            <w:u w:val="single"/>
          </w:rPr>
          <w:t>[1]</w:t>
        </w:r>
      </w:hyperlink>
      <w:r>
        <w:t xml:space="preserve"> That may be bleak, but it also makes independent local organising even more important.</w:t>
      </w:r>
      <w:r/>
    </w:p>
    <w:p>
      <w:r/>
      <w:r>
        <w:t>For readers trying to understand the story, the key question isn't simply whether Europe issued a statement. It's whether governments are prepared to defend people when doing so is politically inconvenient. The answer will reveal far more about the future of democratic values than any carefully polished press release.</w:t>
      </w:r>
      <w:r/>
    </w:p>
    <w:p>
      <w:r/>
      <w:r>
        <w:t>It's a small phrase on paper, but a major test of what international solidarity still means.</w:t>
      </w:r>
      <w:r/>
    </w:p>
    <w:p>
      <w:pPr>
        <w:pStyle w:val="Heading3"/>
      </w:pPr>
      <w:r>
        <w:t>Source Reference Map</w:t>
      </w:r>
      <w:r/>
    </w:p>
    <w:p>
      <w:r/>
      <w:r>
        <w:rPr>
          <w:b/>
        </w:rPr>
        <w:t>Story idea inspired by:</w:t>
      </w:r>
      <w:r>
        <w:t xml:space="preserve"> </w:t>
      </w:r>
      <w:hyperlink r:id="rId13">
        <w:r>
          <w:rPr>
            <w:color w:val="0000EE"/>
            <w:u w:val="single"/>
          </w:rPr>
          <w:t>[1]</w:t>
        </w:r>
      </w:hyperlink>
      <w:r/>
    </w:p>
    <w:p>
      <w:r/>
      <w:r>
        <w:rPr>
          <w:b/>
        </w:rPr>
        <w:t>Sources by paragraph:</w:t>
      </w:r>
      <w:r>
        <w:t xml:space="preserve">- Paragraph 1: </w:t>
      </w:r>
      <w:hyperlink r:id="rId9">
        <w:r>
          <w:rPr>
            <w:color w:val="0000EE"/>
            <w:u w:val="single"/>
          </w:rPr>
          <w:t>[4]</w:t>
        </w:r>
      </w:hyperlink>
      <w:r>
        <w:t xml:space="preserve">, </w:t>
      </w:r>
      <w:hyperlink r:id="rId10">
        <w:r>
          <w:rPr>
            <w:color w:val="0000EE"/>
            <w:u w:val="single"/>
          </w:rPr>
          <w:t>[5]</w:t>
        </w:r>
      </w:hyperlink>
      <w:r>
        <w:t xml:space="preserve">- Paragraph 2: </w:t>
      </w:r>
      <w:hyperlink r:id="rId9">
        <w:r>
          <w:rPr>
            <w:color w:val="0000EE"/>
            <w:u w:val="single"/>
          </w:rPr>
          <w:t>[4]</w:t>
        </w:r>
      </w:hyperlink>
      <w:r>
        <w:t xml:space="preserve">, </w:t>
      </w:r>
      <w:hyperlink r:id="rId10">
        <w:r>
          <w:rPr>
            <w:color w:val="0000EE"/>
            <w:u w:val="single"/>
          </w:rPr>
          <w:t>[5]</w:t>
        </w:r>
      </w:hyperlink>
      <w:r>
        <w:t xml:space="preserve">- Paragraph 3: </w:t>
      </w:r>
      <w:hyperlink r:id="rId11">
        <w:r>
          <w:rPr>
            <w:color w:val="0000EE"/>
            <w:u w:val="single"/>
          </w:rPr>
          <w:t>[6]</w:t>
        </w:r>
      </w:hyperlink>
      <w:r>
        <w:t xml:space="preserve">, </w:t>
      </w:r>
      <w:hyperlink r:id="rId12">
        <w:r>
          <w:rPr>
            <w:color w:val="0000EE"/>
            <w:u w:val="single"/>
          </w:rPr>
          <w:t>[7]</w:t>
        </w:r>
      </w:hyperlink>
      <w:r>
        <w:t xml:space="preserve">- Paragraph 4: </w:t>
      </w:r>
      <w:hyperlink r:id="rId13">
        <w:r>
          <w:rPr>
            <w:color w:val="0000EE"/>
            <w:u w:val="single"/>
          </w:rPr>
          <w:t>[1]</w:t>
        </w:r>
      </w:hyperlink>
      <w:r>
        <w:t xml:space="preserve">- Paragraph 5: </w:t>
      </w:r>
      <w:hyperlink r:id="rId14">
        <w:r>
          <w:rPr>
            <w:color w:val="0000EE"/>
            <w:u w:val="single"/>
          </w:rPr>
          <w:t>[2]</w:t>
        </w:r>
      </w:hyperlink>
      <w:r>
        <w:t xml:space="preserve">, </w:t>
      </w:r>
      <w:hyperlink r:id="rId15">
        <w:r>
          <w:rPr>
            <w:color w:val="0000EE"/>
            <w:u w:val="single"/>
          </w:rPr>
          <w:t>[3]</w:t>
        </w:r>
      </w:hyperlink>
      <w:r>
        <w:t xml:space="preserve">- Paragraph 6: </w:t>
      </w:r>
      <w:hyperlink r:id="rId13">
        <w:r>
          <w:rPr>
            <w:color w:val="0000EE"/>
            <w:u w:val="single"/>
          </w:rPr>
          <w:t>[1]</w:t>
        </w:r>
      </w:hyperlink>
      <w:r>
        <w:t xml:space="preserve">- Paragraph 7: </w:t>
      </w:r>
      <w:hyperlink r:id="rId14">
        <w:r>
          <w:rPr>
            <w:color w:val="0000EE"/>
            <w:u w:val="single"/>
          </w:rPr>
          <w:t>[2]</w:t>
        </w:r>
      </w:hyperlink>
      <w:r>
        <w:t xml:space="preserve">, </w:t>
      </w:r>
      <w:hyperlink r:id="rId15">
        <w:r>
          <w:rPr>
            <w:color w:val="0000EE"/>
            <w:u w:val="single"/>
          </w:rPr>
          <w:t>[3]</w:t>
        </w:r>
      </w:hyperlink>
      <w:r>
        <w:t xml:space="preserve">- Paragraph 8: </w:t>
      </w:r>
      <w:hyperlink r:id="rId13">
        <w:r>
          <w:rPr>
            <w:color w:val="0000EE"/>
            <w:u w:val="single"/>
          </w:rPr>
          <w:t>[1]</w:t>
        </w:r>
      </w:hyperlink>
      <w:r>
        <w:t xml:space="preserve">- Paragraph 9: </w:t>
      </w:r>
      <w:hyperlink r:id="rId14">
        <w:r>
          <w:rPr>
            <w:color w:val="0000EE"/>
            <w:u w:val="single"/>
          </w:rPr>
          <w:t>[2]</w:t>
        </w:r>
      </w:hyperlink>
      <w:r>
        <w:t xml:space="preserve">, </w:t>
      </w:r>
      <w:hyperlink r:id="rId15">
        <w:r>
          <w:rPr>
            <w:color w:val="0000EE"/>
            <w:u w:val="single"/>
          </w:rPr>
          <w:t>[3]</w:t>
        </w:r>
      </w:hyperlink>
      <w:r>
        <w:t xml:space="preserve">- Paragraph 10: </w:t>
      </w:r>
      <w:hyperlink r:id="rId9">
        <w:r>
          <w:rPr>
            <w:color w:val="0000EE"/>
            <w:u w:val="single"/>
          </w:rPr>
          <w:t>[4]</w:t>
        </w:r>
      </w:hyperlink>
      <w:r>
        <w:t xml:space="preserve">, </w:t>
      </w:r>
      <w:hyperlink r:id="rId11">
        <w:r>
          <w:rPr>
            <w:color w:val="0000EE"/>
            <w:u w:val="single"/>
          </w:rPr>
          <w:t>[6]</w:t>
        </w:r>
      </w:hyperlink>
      <w:r>
        <w:t xml:space="preserve">- Paragraph 11: </w:t>
      </w:r>
      <w:hyperlink r:id="rId13">
        <w:r>
          <w:rPr>
            <w:color w:val="0000EE"/>
            <w:u w:val="single"/>
          </w:rPr>
          <w:t>[1]</w:t>
        </w:r>
      </w:hyperlink>
      <w:r>
        <w:t xml:space="preserve">- Paragraph 12: </w:t>
      </w:r>
      <w:hyperlink r:id="rId13">
        <w:r>
          <w:rPr>
            <w:color w:val="0000EE"/>
            <w:u w:val="single"/>
          </w:rPr>
          <w:t>[1]</w:t>
        </w:r>
      </w:hyperlink>
      <w:r>
        <w:t xml:space="preserve">- Paragraph 13: </w:t>
      </w:r>
      <w:hyperlink r:id="rId13">
        <w:r>
          <w:rPr>
            <w:color w:val="0000EE"/>
            <w:u w:val="single"/>
          </w:rPr>
          <w:t>[1]</w:t>
        </w:r>
      </w:hyperlink>
      <w:r>
        <w:t xml:space="preserve">- Paragraph 14: </w:t>
      </w:r>
      <w:hyperlink r:id="rId9">
        <w:r>
          <w:rPr>
            <w:color w:val="0000EE"/>
            <w:u w:val="single"/>
          </w:rPr>
          <w:t>[4]</w:t>
        </w:r>
      </w:hyperlink>
      <w:r>
        <w:t xml:space="preserve">, </w:t>
      </w:r>
      <w:hyperlink r:id="rId10">
        <w:r>
          <w:rPr>
            <w:color w:val="0000EE"/>
            <w:u w:val="single"/>
          </w:rPr>
          <w:t>[5]</w:t>
        </w:r>
      </w:hyperlink>
      <w:r>
        <w:t xml:space="preserve">- Paragraph 15: </w:t>
      </w:r>
      <w:hyperlink r:id="rId13">
        <w:r>
          <w:rPr>
            <w:color w:val="0000EE"/>
            <w:u w:val="single"/>
          </w:rPr>
          <w:t>[1]</w:t>
        </w:r>
      </w:hyperlink>
      <w:r/>
    </w:p>
    <w:p>
      <w:pPr>
        <w:pStyle w:val="Heading2"/>
      </w:pPr>
      <w:r>
        <w:t>Bibliography</w:t>
      </w:r>
      <w:r/>
      <w:r/>
    </w:p>
    <w:p>
      <w:pPr>
        <w:pStyle w:val="ListNumber"/>
        <w:numPr>
          <w:ilvl w:val="0"/>
          <w:numId w:val="14"/>
        </w:numPr>
        <w:spacing w:line="240" w:lineRule="auto"/>
        <w:ind w:left="720"/>
      </w:pPr>
      <w:r/>
      <w:hyperlink r:id="rId13">
        <w:r>
          <w:rPr>
            <w:color w:val="0000EE"/>
            <w:u w:val="single"/>
          </w:rPr>
          <w:t>https://haber.sol.org.tr/yazarlar/cangul-ornek/sivil-toplumun-agir-olumu-413999</w:t>
        </w:r>
      </w:hyperlink>
      <w:r>
        <w:t xml:space="preserve"> - Please view link - unable to able to access data</w:t>
      </w:r>
      <w:r/>
    </w:p>
    <w:p>
      <w:pPr>
        <w:pStyle w:val="ListNumber"/>
        <w:spacing w:line="240" w:lineRule="auto"/>
        <w:ind w:left="720"/>
      </w:pPr>
      <w:r/>
      <w:hyperlink r:id="rId14">
        <w:r>
          <w:rPr>
            <w:color w:val="0000EE"/>
            <w:u w:val="single"/>
          </w:rPr>
          <w:t>https://apnews.com/article/ac345b51d7594f7552ae52fd0e32a041</w:t>
        </w:r>
      </w:hyperlink>
      <w:r>
        <w:t xml:space="preserve"> - On September 15, 2026, Turkish police detained dozens of demonstrators outside Istanbul's Caglayan courthouse who were protesting the government's recent crackdown on LGBTQ+ groups. The protest was in response to raids that took place two days earlier, during which authorities detained multiple LGBTQ+ activists, shut down association offices, and blocked websites. Justice Minister Akin Gurlek stated that the crackdown, named 'My Family is Safe,' aimed to protect children and public order and targeted 162 individuals, nine associations, and 13 businesses. The Council of Europe’s Human Rights Commissioner, Michael O'Flaherty, condemned the actions, urging the release of detainees and warning against using 'family values' as a pretext for limiting human rights. Protesters decried the political targeting of LGBTQ+ individuals, with some accusing the ruling party of scapegoating the community to appeal to conservative voters. Turkish President Recep Tayyip Erdogan's government has previously banned Istanbul Pride and suppressed LGBTQ+ events, including denying a popular cruise ship permission to dock this summer.</w:t>
      </w:r>
      <w:r/>
    </w:p>
    <w:p>
      <w:pPr>
        <w:pStyle w:val="ListNumber"/>
        <w:spacing w:line="240" w:lineRule="auto"/>
        <w:ind w:left="720"/>
      </w:pPr>
      <w:r/>
      <w:hyperlink r:id="rId15">
        <w:r>
          <w:rPr>
            <w:color w:val="0000EE"/>
            <w:u w:val="single"/>
          </w:rPr>
          <w:t>https://apnews.com/article/c782f5318613126fe072d29133e6bf5d</w:t>
        </w:r>
      </w:hyperlink>
      <w:r>
        <w:t xml:space="preserve"> - In a significant escalation of its longstanding hostility towards LGBTQ+ groups, Turkish authorities carried out a coordinated crackdown early Sunday, targeting LGBTQ+ and HIV support organizations across major cities including Istanbul, Ankara, and Izmir. Beginning at 1 a.m., police detained dozens of individuals, raided association offices and popular venues, and blocked organization websites. Justice Minister Akin Gurlek cited protection of children and family values as the motive, stating the investigation involves 162 suspects, nine associations, and 13 businesses, and emphasized alleged foreign funding and criminal behavior. Critics, including the Human Rights Association, condemned the raids as politically motivated, aiming to suppress diversity and civil society under the guise of protecting public order. The governing Justice and Development Party has intensified anti-LGBTQ+ rhetoric, with previous actions including the ban on Istanbul Pride since 2015 and the recent denial of docking rights to an LGBTQ+ cruise ship. Despite legal decriminalization of homosexuality in the Ottoman era, contemporary Turkey continues to witness significant discrimination against LGBTQ+ individuals.</w:t>
      </w:r>
      <w:r/>
    </w:p>
    <w:p>
      <w:pPr>
        <w:pStyle w:val="ListNumber"/>
        <w:spacing w:line="240" w:lineRule="auto"/>
        <w:ind w:left="720"/>
      </w:pPr>
      <w:r/>
      <w:hyperlink r:id="rId9">
        <w:r>
          <w:rPr>
            <w:color w:val="0000EE"/>
            <w:u w:val="single"/>
          </w:rPr>
          <w:t>https://tr.euronews.com/2026/09/15/lgbti-operasyonlarina-ab-ve-abdden-tepki-haklari-kisitlanmamali</w:t>
        </w:r>
      </w:hyperlink>
      <w:r>
        <w:t xml:space="preserve"> - The European Union (EU) has expressed concern over recent police operations in Turkey targeting the LGBTQ+ community, which have resulted in the detention of at least 60 individuals. The EU has called on Ankara to ensure respect for human rights, emphasizing that such actions are incompatible with EU values. The operations, named 'My Family is Safe,' have led to the arrest of numerous LGBTQ+ activists and the closure of several venues. The EU's response underscores its commitment to upholding human rights and freedoms within its member states and neighbouring countries.</w:t>
      </w:r>
      <w:r/>
    </w:p>
    <w:p>
      <w:pPr>
        <w:pStyle w:val="ListNumber"/>
        <w:spacing w:line="240" w:lineRule="auto"/>
        <w:ind w:left="720"/>
      </w:pPr>
      <w:r/>
      <w:hyperlink r:id="rId10">
        <w:r>
          <w:rPr>
            <w:color w:val="0000EE"/>
            <w:u w:val="single"/>
          </w:rPr>
          <w:t>https://tr.euronews.com/2026/09/15/ab-turkiyedeki-lgbti-operasyonlarindan-endiseli</w:t>
        </w:r>
      </w:hyperlink>
      <w:r>
        <w:t xml:space="preserve"> - The European Union (EU) has expressed concern over recent police operations in Turkey targeting the LGBTQ+ community, which have resulted in the detention of at least 60 individuals. The EU has called on Ankara to ensure respect for human rights, emphasizing that such actions are incompatible with EU values. The operations, named 'My Family is Safe,' have led to the arrest of numerous LGBTQ+ activists and the closure of several venues. The EU's response underscores its commitment to upholding human rights and freedoms within its member states and neighbouring countries.</w:t>
      </w:r>
      <w:r/>
    </w:p>
    <w:p>
      <w:pPr>
        <w:pStyle w:val="ListNumber"/>
        <w:spacing w:line="240" w:lineRule="auto"/>
        <w:ind w:left="720"/>
      </w:pPr>
      <w:r/>
      <w:hyperlink r:id="rId11">
        <w:r>
          <w:rPr>
            <w:color w:val="0000EE"/>
            <w:u w:val="single"/>
          </w:rPr>
          <w:t>https://tr.euronews.com/2026/09/17/bmden-turkiyeye-lgbti-operasyonlarinda-gozaltina-alinanlarin-serbest-birakilmasi-cagrisi</w:t>
        </w:r>
      </w:hyperlink>
      <w:r>
        <w:t xml:space="preserve"> - The United Nations Human Rights Office has called for the release of individuals detained during recent operations targeting the LGBTQ+ community in Turkey. The UN expressed concern over reports of over 150 LGBTQ+ individuals and human rights defenders being detained, describing the actions as arbitrary. The UN's call highlights the international community's commitment to protecting human rights and freedoms, urging Turkish authorities to adhere to international human rights standards.</w:t>
      </w:r>
      <w:r/>
    </w:p>
    <w:p>
      <w:pPr>
        <w:pStyle w:val="ListNumber"/>
        <w:spacing w:line="240" w:lineRule="auto"/>
        <w:ind w:left="720"/>
      </w:pPr>
      <w:r/>
      <w:hyperlink r:id="rId12">
        <w:r>
          <w:rPr>
            <w:color w:val="0000EE"/>
            <w:u w:val="single"/>
          </w:rPr>
          <w:t>https://turkinform.com.tr/abden-turkiyeye-ailem-guvende-operasyonu-tepkisi-lgbt-gozaltilari-endise-verici</w:t>
        </w:r>
      </w:hyperlink>
      <w:r>
        <w:t xml:space="preserve"> - The European Union (EU) has expressed concern over recent police operations in Turkey targeting the LGBTQ+ community, which have resulted in the detention of at least 60 individuals. The EU has called on Ankara to ensure respect for human rights, emphasizing that such actions are incompatible with EU values. The operations, named 'My Family is Safe,' have led to the arrest of numerous LGBTQ+ activists and the closure of several venues. The EU's response underscores its commitment to upholding human rights and freedoms within its member states and neighbouring countries.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tr.euronews.com/2026/09/15/lgbti-operasyonlarina-ab-ve-abdden-tepki-haklari-kisitlanmamali" TargetMode="External"/><Relationship Id="rId10" Type="http://schemas.openxmlformats.org/officeDocument/2006/relationships/hyperlink" Target="https://tr.euronews.com/2026/09/15/ab-turkiyedeki-lgbti-operasyonlarindan-endiseli" TargetMode="External"/><Relationship Id="rId11" Type="http://schemas.openxmlformats.org/officeDocument/2006/relationships/hyperlink" Target="https://tr.euronews.com/2026/09/17/bmden-turkiyeye-lgbti-operasyonlarinda-gozaltina-alinanlarin-serbest-birakilmasi-cagrisi" TargetMode="External"/><Relationship Id="rId12" Type="http://schemas.openxmlformats.org/officeDocument/2006/relationships/hyperlink" Target="https://turkinform.com.tr/abden-turkiyeye-ailem-guvende-operasyonu-tepkisi-lgbt-gozaltilari-endise-verici" TargetMode="External"/><Relationship Id="rId13" Type="http://schemas.openxmlformats.org/officeDocument/2006/relationships/hyperlink" Target="https://haber.sol.org.tr/yazarlar/cangul-ornek/sivil-toplumun-agir-olumu-413999" TargetMode="External"/><Relationship Id="rId14" Type="http://schemas.openxmlformats.org/officeDocument/2006/relationships/hyperlink" Target="https://apnews.com/article/ac345b51d7594f7552ae52fd0e32a041" TargetMode="External"/><Relationship Id="rId15" Type="http://schemas.openxmlformats.org/officeDocument/2006/relationships/hyperlink" Target="https://apnews.com/article/c782f5318613126fe072d29133e6bf5d"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