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Maine school policy fight raises questions over transgender rights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Residents in a small Down East Maine school district are challenging a policy restricting transgender students’ access to sport and school facilities, after records revealed links between board members and conservative advocacy groups. The dispute matters well beyond RSU 24, as local districts become the frontline in America’s widening transgender rights battle.</w:t>
      </w:r>
      <w:r/>
    </w:p>
    <w:p>
      <w:pPr>
        <w:pStyle w:val="Heading2"/>
      </w:pPr>
      <w:r>
        <w:t>Essential Takeaways</w:t>
      </w:r>
      <w:r/>
      <w:r/>
    </w:p>
    <w:p>
      <w:pPr>
        <w:pStyle w:val="ListBullet"/>
        <w:spacing w:line="240" w:lineRule="auto"/>
        <w:ind w:left="720"/>
      </w:pPr>
      <w:r/>
      <w:r>
        <w:rPr>
          <w:b/>
        </w:rPr>
        <w:t>Local challenge:</w:t>
      </w:r>
      <w:r>
        <w:t xml:space="preserve"> Residents’ records request produced more than 900 pages of emails, texts and newsletters.</w:t>
      </w:r>
      <w:r/>
    </w:p>
    <w:p>
      <w:pPr>
        <w:pStyle w:val="ListBullet"/>
        <w:spacing w:line="240" w:lineRule="auto"/>
        <w:ind w:left="720"/>
      </w:pPr>
      <w:r/>
      <w:r>
        <w:rPr>
          <w:b/>
        </w:rPr>
        <w:t>Policy scope:</w:t>
      </w:r>
      <w:r>
        <w:t xml:space="preserve"> RSU 24’s rules restrict transgender students’ participation in sports and use of facilities matching their gender identity.</w:t>
      </w:r>
      <w:r/>
    </w:p>
    <w:p>
      <w:pPr>
        <w:pStyle w:val="ListBullet"/>
        <w:spacing w:line="240" w:lineRule="auto"/>
        <w:ind w:left="720"/>
      </w:pPr>
      <w:r/>
      <w:r>
        <w:rPr>
          <w:b/>
        </w:rPr>
        <w:t>Political links:</w:t>
      </w:r>
      <w:r>
        <w:t xml:space="preserve"> Documents indicate contact between board members, Maine First and the Maine Policy Institute.</w:t>
      </w:r>
      <w:r/>
    </w:p>
    <w:p>
      <w:pPr>
        <w:pStyle w:val="ListBullet"/>
        <w:spacing w:line="240" w:lineRule="auto"/>
        <w:ind w:left="720"/>
      </w:pPr>
      <w:r/>
      <w:r>
        <w:rPr>
          <w:b/>
        </w:rPr>
        <w:t>Legal pressure:</w:t>
      </w:r>
      <w:r>
        <w:t xml:space="preserve"> The Maine Human Rights Commission is suing five school systems over alleged discrimination.</w:t>
      </w:r>
      <w:r/>
    </w:p>
    <w:p>
      <w:pPr>
        <w:pStyle w:val="ListBullet"/>
        <w:spacing w:line="240" w:lineRule="auto"/>
        <w:ind w:left="720"/>
      </w:pPr>
      <w:r/>
      <w:r>
        <w:rPr>
          <w:b/>
        </w:rPr>
        <w:t>Practical concern:</w:t>
      </w:r>
      <w:r>
        <w:t xml:space="preserve"> Critics say enforcement could involve intrusive checks, while supporters frame the rules as safeguarding girls.</w:t>
      </w:r>
      <w:r/>
      <w:r/>
    </w:p>
    <w:p>
      <w:pPr>
        <w:pStyle w:val="Heading2"/>
      </w:pPr>
      <w:r>
        <w:t>A small district has become a national flashpoint</w:t>
      </w:r>
      <w:r/>
    </w:p>
    <w:p>
      <w:r/>
      <w:r>
        <w:t xml:space="preserve">In RSU 24, a district serving nine communities across eastern Hancock and western Washington counties, a school-board dispute has become a much larger argument about who sets education policy. The issue is emotionally charged, and for families involved, a supposedly local vote reaches into sport, toilets, changing rooms and a child’s basic sense of belonging. Maine Public reported that the policy is part of a wider legal confrontation over alleged discrimination against transgender pupils. </w:t>
      </w:r>
      <w:hyperlink r:id="rId9">
        <w:r>
          <w:rPr>
            <w:color w:val="0000EE"/>
            <w:u w:val="single"/>
          </w:rPr>
          <w:t>[2]</w:t>
        </w:r>
      </w:hyperlink>
      <w:r>
        <w:t xml:space="preserve">, </w:t>
      </w:r>
      <w:hyperlink r:id="rId10">
        <w:r>
          <w:rPr>
            <w:color w:val="0000EE"/>
            <w:u w:val="single"/>
          </w:rPr>
          <w:t>[5]</w:t>
        </w:r>
      </w:hyperlink>
      <w:r/>
    </w:p>
    <w:p>
      <w:r/>
      <w:r>
        <w:t xml:space="preserve">The controversy follows years of tension. The board limited access to two LGBTQ-themed books in 2023, then later reversed a student-led policy that had allowed transgender pupils to use bathrooms reflecting their gender identity. That sequence helps explain why campaigners now see the latest resolution not as an isolated measure, but as another step in a sustained political campaign. </w:t>
      </w:r>
      <w:hyperlink r:id="rId9">
        <w:r>
          <w:rPr>
            <w:color w:val="0000EE"/>
            <w:u w:val="single"/>
          </w:rPr>
          <w:t>[2]</w:t>
        </w:r>
      </w:hyperlink>
      <w:r>
        <w:t xml:space="preserve">, </w:t>
      </w:r>
      <w:hyperlink r:id="rId10">
        <w:r>
          <w:rPr>
            <w:color w:val="0000EE"/>
            <w:u w:val="single"/>
          </w:rPr>
          <w:t>[5]</w:t>
        </w:r>
      </w:hyperlink>
      <w:r/>
    </w:p>
    <w:p>
      <w:r/>
      <w:r>
        <w:t xml:space="preserve">For parents, the debate can sound abstract until it becomes intensely practical. Which team can a child join? Which changing area can they use? And who decides what proof is acceptable? Those questions are precisely why the dispute has attracted attention far beyond Franklin and its neighbouring towns. </w:t>
      </w:r>
      <w:hyperlink r:id="rId9">
        <w:r>
          <w:rPr>
            <w:color w:val="0000EE"/>
            <w:u w:val="single"/>
          </w:rPr>
          <w:t>[2]</w:t>
        </w:r>
      </w:hyperlink>
      <w:r>
        <w:t xml:space="preserve">, </w:t>
      </w:r>
      <w:hyperlink r:id="rId11">
        <w:r>
          <w:rPr>
            <w:color w:val="0000EE"/>
            <w:u w:val="single"/>
          </w:rPr>
          <w:t>[4]</w:t>
        </w:r>
      </w:hyperlink>
      <w:r/>
    </w:p>
    <w:p>
      <w:pPr>
        <w:pStyle w:val="Heading2"/>
      </w:pPr>
      <w:r>
        <w:t>Public records reveal an organised campaign</w:t>
      </w:r>
      <w:r/>
    </w:p>
    <w:p>
      <w:r/>
      <w:r>
        <w:t xml:space="preserve">The advocacy group 24 Allies used Maine’s Freedom of Access Act to obtain more than 900 pages of district communications. The records reportedly include correspondence involving board members, the superintendent and conservative organisations, including Maine First and the Maine Policy Institute. </w:t>
      </w:r>
      <w:hyperlink r:id="rId9">
        <w:r>
          <w:rPr>
            <w:color w:val="0000EE"/>
            <w:u w:val="single"/>
          </w:rPr>
          <w:t>[2]</w:t>
        </w:r>
      </w:hyperlink>
      <w:r/>
    </w:p>
    <w:p>
      <w:r/>
      <w:r>
        <w:t xml:space="preserve">That paper trail has become central to the residents’ argument. They say outside groups helped provide model language, legal advice and political support for a policy that ultimately passed in October 2025. The Maine Policy Institute has presented the legal dispute as part of a national clash over state and federal authority, showing just how differently the same events are being framed. </w:t>
      </w:r>
      <w:hyperlink r:id="rId12">
        <w:r>
          <w:rPr>
            <w:color w:val="0000EE"/>
            <w:u w:val="single"/>
          </w:rPr>
          <w:t>[3]</w:t>
        </w:r>
      </w:hyperlink>
      <w:r/>
    </w:p>
    <w:p>
      <w:r/>
      <w:r>
        <w:t xml:space="preserve">The political backdrop is impossible to miss. A mailer supporting board member Carla Jung described her as an advocate for excluding transgender girls from girls’ sport and facilities, while Jung and attorney Jack Baldacci Jr. reportedly attended a Maine First training event. Neither Jung nor Baldacci responded to requests for comment reported by the Bangor Daily News. </w:t>
      </w:r>
      <w:hyperlink r:id="rId9">
        <w:r>
          <w:rPr>
            <w:color w:val="0000EE"/>
            <w:u w:val="single"/>
          </w:rPr>
          <w:t>[2]</w:t>
        </w:r>
      </w:hyperlink>
      <w:r/>
    </w:p>
    <w:p>
      <w:pPr>
        <w:pStyle w:val="Heading2"/>
      </w:pPr>
      <w:r>
        <w:t>Why the vote has become a legal test</w:t>
      </w:r>
      <w:r/>
    </w:p>
    <w:p>
      <w:r/>
      <w:r>
        <w:t xml:space="preserve">RSU 24’s policy broadly follows the direction of former President Donald Trump’s 2025 executive order concerning transgender athletes. Maine’s government rejected that approach and continued defending protections under the Maine Human Rights Act, setting up a direct conflict between federal political messaging and state civil-rights law. Axios reported that the dispute quickly became part of a broader confrontation between the Trump administration and Maine officials. </w:t>
      </w:r>
      <w:hyperlink r:id="rId13">
        <w:r>
          <w:rPr>
            <w:color w:val="0000EE"/>
            <w:u w:val="single"/>
          </w:rPr>
          <w:t>[6]</w:t>
        </w:r>
      </w:hyperlink>
      <w:r>
        <w:t xml:space="preserve">, </w:t>
      </w:r>
      <w:hyperlink r:id="rId14">
        <w:r>
          <w:rPr>
            <w:color w:val="0000EE"/>
            <w:u w:val="single"/>
          </w:rPr>
          <w:t>[7]</w:t>
        </w:r>
      </w:hyperlink>
      <w:r/>
    </w:p>
    <w:p>
      <w:r/>
      <w:r>
        <w:t xml:space="preserve">The Maine Human Rights Commission subsequently sued five school systems, alleging that restrictions on sport and facilities discriminate against transgender students. Maine Public reported that the cases could help determine how Maine’s anti-discrimination protections apply when local school boards adopt policies based on sex assigned at birth. </w:t>
      </w:r>
      <w:hyperlink r:id="rId10">
        <w:r>
          <w:rPr>
            <w:color w:val="0000EE"/>
            <w:u w:val="single"/>
          </w:rPr>
          <w:t>[5]</w:t>
        </w:r>
      </w:hyperlink>
      <w:r/>
    </w:p>
    <w:p>
      <w:r/>
      <w:r>
        <w:t xml:space="preserve">The Maine Wire described the lawsuits through the lens of concerns about transgender-identifying males in girls’ sport, reflecting the argument made by policy supporters. </w:t>
      </w:r>
      <w:hyperlink r:id="rId11">
        <w:r>
          <w:rPr>
            <w:color w:val="0000EE"/>
            <w:u w:val="single"/>
          </w:rPr>
          <w:t>[4]</w:t>
        </w:r>
      </w:hyperlink>
      <w:r>
        <w:t xml:space="preserve"> Critics, meanwhile, say the central question is whether schools can single out a vulnerable group while claiming local control. The courts will have to decide where that line sits.</w:t>
      </w:r>
      <w:r/>
    </w:p>
    <w:p>
      <w:pPr>
        <w:pStyle w:val="Heading2"/>
      </w:pPr>
      <w:r>
        <w:t>Enforcement could be the most contentious issue</w:t>
      </w:r>
      <w:r/>
    </w:p>
    <w:p>
      <w:r/>
      <w:r>
        <w:t xml:space="preserve">Passing a policy is one thing; applying it consistently is another. Records obtained by 24 Allies reportedly show discussion of using birth certificates to determine eligibility. Critics warn that such a system could produce humiliating and intrusive encounters, particularly for young people whose documents, appearance or family circumstances do not fit a simple administrative category. </w:t>
      </w:r>
      <w:hyperlink r:id="rId9">
        <w:r>
          <w:rPr>
            <w:color w:val="0000EE"/>
            <w:u w:val="single"/>
          </w:rPr>
          <w:t>[2]</w:t>
        </w:r>
      </w:hyperlink>
      <w:r/>
    </w:p>
    <w:p>
      <w:r/>
      <w:r>
        <w:t xml:space="preserve">Supporters argue that schools need clear rules rather than leaving decisions to individual staff members. The Maine Policy Institute has framed the issue as one of parental rights, fairness and institutional accountability, while opponents say those arguments obscure the real-world effect on transgender pupils. </w:t>
      </w:r>
      <w:hyperlink r:id="rId12">
        <w:r>
          <w:rPr>
            <w:color w:val="0000EE"/>
            <w:u w:val="single"/>
          </w:rPr>
          <w:t>[3]</w:t>
        </w:r>
      </w:hyperlink>
      <w:r/>
    </w:p>
    <w:p>
      <w:r/>
      <w:r>
        <w:t xml:space="preserve">There is also a financial question. According to documents described by the Bangor Daily News, RSU 24’s legal budget rose from $17,000 to $30,000 after the human-rights lawsuit. For a small district, that is not pocket change, and families may reasonably ask whether scarce money is better spent on teaching, support staff or pastoral care. </w:t>
      </w:r>
      <w:hyperlink r:id="rId9">
        <w:r>
          <w:rPr>
            <w:color w:val="0000EE"/>
            <w:u w:val="single"/>
          </w:rPr>
          <w:t>[2]</w:t>
        </w:r>
      </w:hyperlink>
      <w:r/>
    </w:p>
    <w:p>
      <w:pPr>
        <w:pStyle w:val="Heading2"/>
      </w:pPr>
      <w:r>
        <w:t>The weighted-vote system adds another layer</w:t>
      </w:r>
      <w:r/>
    </w:p>
    <w:p>
      <w:r/>
      <w:r>
        <w:t xml:space="preserve">The resolution passed on a 4-4 vote, but RSU 24 uses weighted voting, meaning representatives from more populous communities carry more influence. One member was absent, and campaigners later said two board members together represented about 43% of the total voting weight. </w:t>
      </w:r>
      <w:hyperlink r:id="rId9">
        <w:r>
          <w:rPr>
            <w:color w:val="0000EE"/>
            <w:u w:val="single"/>
          </w:rPr>
          <w:t>[2]</w:t>
        </w:r>
      </w:hyperlink>
      <w:r/>
    </w:p>
    <w:p>
      <w:r/>
      <w:r>
        <w:t xml:space="preserve">That arrangement has become a separate source of frustration. Around 420 residents reportedly signed a petition asking the board to reconsider the system, but the request was declined. Whatever someone thinks about transgender policy, a voting structure that feels opaque can make an already divisive decision look even less legitimate. </w:t>
      </w:r>
      <w:hyperlink r:id="rId9">
        <w:r>
          <w:rPr>
            <w:color w:val="0000EE"/>
            <w:u w:val="single"/>
          </w:rPr>
          <w:t>[2]</w:t>
        </w:r>
      </w:hyperlink>
      <w:r/>
    </w:p>
    <w:p>
      <w:r/>
      <w:r>
        <w:t xml:space="preserve">This is part of a wider trend in which national culture-war disputes are being fought through local institutions. Axios reported that the Trump administration escalated its confrontation with Maine over transgender athletes, while state and local officials continued to rely on existing civil-rights protections. </w:t>
      </w:r>
      <w:hyperlink r:id="rId14">
        <w:r>
          <w:rPr>
            <w:color w:val="0000EE"/>
            <w:u w:val="single"/>
          </w:rPr>
          <w:t>[7]</w:t>
        </w:r>
      </w:hyperlink>
      <w:r>
        <w:t xml:space="preserve"> The result is a policy maze for schools and families, with legal uncertainty arriving faster than clear guidance.</w:t>
      </w:r>
      <w:r/>
    </w:p>
    <w:p>
      <w:pPr>
        <w:pStyle w:val="Heading2"/>
      </w:pPr>
      <w:r>
        <w:t>What happens next for families and schools?</w:t>
      </w:r>
      <w:r/>
    </w:p>
    <w:p>
      <w:r/>
      <w:r>
        <w:t xml:space="preserve">The immediate future depends on the court cases and on whether Maine’s human-rights protections remain enforceable against local school-board policies. Until then, families may face uncertainty over team selection, facilities and the handling of complaints. Schools, meanwhile, will need to balance legal advice, safeguarding duties and the risk of singling out pupils. </w:t>
      </w:r>
      <w:hyperlink r:id="rId10">
        <w:r>
          <w:rPr>
            <w:color w:val="0000EE"/>
            <w:u w:val="single"/>
          </w:rPr>
          <w:t>[5]</w:t>
        </w:r>
      </w:hyperlink>
      <w:r/>
    </w:p>
    <w:p>
      <w:r/>
      <w:r>
        <w:t xml:space="preserve">The political temperature is unlikely to fall soon. Maine First and allied groups have treated school boards as a route for advancing policies that have struggled to gain statewide approval, according to the records described by the Bangor Daily News. Opponents are organising in response, arguing that resistance is about protecting every pupil, not only transgender children. </w:t>
      </w:r>
      <w:hyperlink r:id="rId9">
        <w:r>
          <w:rPr>
            <w:color w:val="0000EE"/>
            <w:u w:val="single"/>
          </w:rPr>
          <w:t>[2]</w:t>
        </w:r>
      </w:hyperlink>
      <w:r/>
    </w:p>
    <w:p>
      <w:r/>
      <w:r>
        <w:t>For students, though, this is not a policy seminar. It is the daily reality of walking into school and wondering whether adults will see them as a child to support or a problem to regulate. That human detail is easy to lose in a national argument, but it is the part that matters most.</w:t>
      </w:r>
      <w:r/>
    </w:p>
    <w:p>
      <w:r/>
      <w:r>
        <w:t>It's a small district's dispute, but the questions it raises could shape transgender student rights across Maine.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[5]</w:t>
        </w:r>
      </w:hyperlink>
      <w:r>
        <w:t xml:space="preserve">- Paragraph 2: </w:t>
      </w:r>
      <w:hyperlink r:id="rId9">
        <w:r>
          <w:rPr>
            <w:color w:val="0000EE"/>
            <w:u w:val="single"/>
          </w:rPr>
          <w:t>[2]</w:t>
        </w:r>
      </w:hyperlink>
      <w:r>
        <w:t xml:space="preserve">, </w:t>
      </w:r>
      <w:hyperlink r:id="rId10">
        <w:r>
          <w:rPr>
            <w:color w:val="0000EE"/>
            <w:u w:val="single"/>
          </w:rPr>
          <w:t>[5]</w:t>
        </w:r>
      </w:hyperlink>
      <w:r>
        <w:t xml:space="preserve">- Paragraph 3: </w:t>
      </w:r>
      <w:hyperlink r:id="rId9">
        <w:r>
          <w:rPr>
            <w:color w:val="0000EE"/>
            <w:u w:val="single"/>
          </w:rPr>
          <w:t>[2]</w:t>
        </w:r>
      </w:hyperlink>
      <w:r>
        <w:t xml:space="preserve">, </w:t>
      </w:r>
      <w:hyperlink r:id="rId11">
        <w:r>
          <w:rPr>
            <w:color w:val="0000EE"/>
            <w:u w:val="single"/>
          </w:rPr>
          <w:t>[4]</w:t>
        </w:r>
      </w:hyperlink>
      <w:r>
        <w:t xml:space="preserve">- Paragraph 4: </w:t>
      </w:r>
      <w:hyperlink r:id="rId9">
        <w:r>
          <w:rPr>
            <w:color w:val="0000EE"/>
            <w:u w:val="single"/>
          </w:rPr>
          <w:t>[2]</w:t>
        </w:r>
      </w:hyperlink>
      <w:r>
        <w:t xml:space="preserve">, </w:t>
      </w:r>
      <w:hyperlink r:id="rId12">
        <w:r>
          <w:rPr>
            <w:color w:val="0000EE"/>
            <w:u w:val="single"/>
          </w:rPr>
          <w:t>[3]</w:t>
        </w:r>
      </w:hyperlink>
      <w:r>
        <w:t xml:space="preserve">- Paragraph 5: </w:t>
      </w:r>
      <w:hyperlink r:id="rId9">
        <w:r>
          <w:rPr>
            <w:color w:val="0000EE"/>
            <w:u w:val="single"/>
          </w:rPr>
          <w:t>[2]</w:t>
        </w:r>
      </w:hyperlink>
      <w:r>
        <w:t xml:space="preserve">- Paragraph 6: </w:t>
      </w:r>
      <w:hyperlink r:id="rId12">
        <w:r>
          <w:rPr>
            <w:color w:val="0000EE"/>
            <w:u w:val="single"/>
          </w:rPr>
          <w:t>[3]</w:t>
        </w:r>
      </w:hyperlink>
      <w:r>
        <w:t xml:space="preserve">- Paragraph 7: </w:t>
      </w:r>
      <w:hyperlink r:id="rId9">
        <w:r>
          <w:rPr>
            <w:color w:val="0000EE"/>
            <w:u w:val="single"/>
          </w:rPr>
          <w:t>[2]</w:t>
        </w:r>
      </w:hyperlink>
      <w:r>
        <w:t xml:space="preserve">- Paragraph 8: </w:t>
      </w:r>
      <w:hyperlink r:id="rId13">
        <w:r>
          <w:rPr>
            <w:color w:val="0000EE"/>
            <w:u w:val="single"/>
          </w:rPr>
          <w:t>[6]</w:t>
        </w:r>
      </w:hyperlink>
      <w:r>
        <w:t xml:space="preserve">, </w:t>
      </w:r>
      <w:hyperlink r:id="rId14">
        <w:r>
          <w:rPr>
            <w:color w:val="0000EE"/>
            <w:u w:val="single"/>
          </w:rPr>
          <w:t>[7]</w:t>
        </w:r>
      </w:hyperlink>
      <w:r>
        <w:t xml:space="preserve">- Paragraph 9: </w:t>
      </w:r>
      <w:hyperlink r:id="rId10">
        <w:r>
          <w:rPr>
            <w:color w:val="0000EE"/>
            <w:u w:val="single"/>
          </w:rPr>
          <w:t>[5]</w:t>
        </w:r>
      </w:hyperlink>
      <w:r>
        <w:t xml:space="preserve">- Paragraph 10: </w:t>
      </w:r>
      <w:hyperlink r:id="rId11">
        <w:r>
          <w:rPr>
            <w:color w:val="0000EE"/>
            <w:u w:val="single"/>
          </w:rPr>
          <w:t>[4]</w:t>
        </w:r>
      </w:hyperlink>
      <w:r>
        <w:t xml:space="preserve">- Paragraph 11: </w:t>
      </w:r>
      <w:hyperlink r:id="rId9">
        <w:r>
          <w:rPr>
            <w:color w:val="0000EE"/>
            <w:u w:val="single"/>
          </w:rPr>
          <w:t>[2]</w:t>
        </w:r>
      </w:hyperlink>
      <w:r>
        <w:t xml:space="preserve">- Paragraph 12: </w:t>
      </w:r>
      <w:hyperlink r:id="rId12">
        <w:r>
          <w:rPr>
            <w:color w:val="0000EE"/>
            <w:u w:val="single"/>
          </w:rPr>
          <w:t>[3]</w:t>
        </w:r>
      </w:hyperlink>
      <w:r>
        <w:t xml:space="preserve">- Paragraph 13: </w:t>
      </w:r>
      <w:hyperlink r:id="rId9">
        <w:r>
          <w:rPr>
            <w:color w:val="0000EE"/>
            <w:u w:val="single"/>
          </w:rPr>
          <w:t>[2]</w:t>
        </w:r>
      </w:hyperlink>
      <w:r>
        <w:t xml:space="preserve">- Paragraph 14: </w:t>
      </w:r>
      <w:hyperlink r:id="rId9">
        <w:r>
          <w:rPr>
            <w:color w:val="0000EE"/>
            <w:u w:val="single"/>
          </w:rPr>
          <w:t>[2]</w:t>
        </w:r>
      </w:hyperlink>
      <w:r>
        <w:t xml:space="preserve">- Paragraph 15: </w:t>
      </w:r>
      <w:hyperlink r:id="rId9">
        <w:r>
          <w:rPr>
            <w:color w:val="0000EE"/>
            <w:u w:val="single"/>
          </w:rPr>
          <w:t>[2]</w:t>
        </w:r>
      </w:hyperlink>
      <w:r>
        <w:t xml:space="preserve">- Paragraph 16: </w:t>
      </w:r>
      <w:hyperlink r:id="rId14">
        <w:r>
          <w:rPr>
            <w:color w:val="0000EE"/>
            <w:u w:val="single"/>
          </w:rPr>
          <w:t>[7]</w:t>
        </w:r>
      </w:hyperlink>
      <w:r>
        <w:t xml:space="preserve">- Paragraph 17: </w:t>
      </w:r>
      <w:hyperlink r:id="rId10">
        <w:r>
          <w:rPr>
            <w:color w:val="0000EE"/>
            <w:u w:val="single"/>
          </w:rPr>
          <w:t>[5]</w:t>
        </w:r>
      </w:hyperlink>
      <w:r>
        <w:t xml:space="preserve">- Paragraph 18: </w:t>
      </w:r>
      <w:hyperlink r:id="rId9">
        <w:r>
          <w:rPr>
            <w:color w:val="0000EE"/>
            <w:u w:val="single"/>
          </w:rPr>
          <w:t>[2]</w:t>
        </w:r>
      </w:hyperlink>
      <w:r>
        <w:t xml:space="preserve">- Paragraph 19: </w:t>
      </w:r>
      <w:hyperlink r:id="rId9">
        <w:r>
          <w:rPr>
            <w:color w:val="0000EE"/>
            <w:u w:val="single"/>
          </w:rPr>
          <w:t>[2]</w:t>
        </w:r>
      </w:hyperlink>
      <w:r>
        <w:t xml:space="preserve">- Paragraph 20: </w:t>
      </w:r>
      <w:hyperlink r:id="rId10">
        <w:r>
          <w:rPr>
            <w:color w:val="0000EE"/>
            <w:u w:val="single"/>
          </w:rPr>
          <w:t>[5]</w:t>
        </w:r>
      </w:hyperlink>
      <w:r>
        <w:t xml:space="preserve">- Paragraph 21: </w:t>
      </w:r>
      <w:hyperlink r:id="rId9">
        <w:r>
          <w:rPr>
            <w:color w:val="0000EE"/>
            <w:u w:val="single"/>
          </w:rPr>
          <w:t>[2]</w:t>
        </w:r>
      </w:hyperlink>
      <w:r>
        <w:t xml:space="preserve">- Paragraph 22: </w:t>
      </w:r>
      <w:hyperlink r:id="rId9">
        <w:r>
          <w:rPr>
            <w:color w:val="0000EE"/>
            <w:u w:val="single"/>
          </w:rPr>
          <w:t>[2]</w:t>
        </w:r>
      </w:hyperlink>
      <w:r>
        <w:t xml:space="preserve">- Paragraph 23: </w:t>
      </w:r>
      <w:hyperlink r:id="rId10">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https://www.bangordailynews.com/2026/09/09/hancock/hancock-education/rsu-24-maine-school-anti-trans-policies/</w:t>
        </w:r>
      </w:hyperlink>
      <w:r>
        <w:t xml:space="preserve"> - Please view link - unable to able to access data</w:t>
      </w:r>
      <w:r/>
    </w:p>
    <w:p>
      <w:pPr>
        <w:pStyle w:val="ListNumber"/>
        <w:spacing w:line="240" w:lineRule="auto"/>
        <w:ind w:left="720"/>
      </w:pPr>
      <w:r/>
      <w:hyperlink r:id="rId9">
        <w:r>
          <w:rPr>
            <w:color w:val="0000EE"/>
            <w:u w:val="single"/>
          </w:rPr>
          <w:t>https://www.bangordailynews.com/2026/09/09/hancock/hancock-education/rsu-24-maine-school-anti-trans-policies/</w:t>
        </w:r>
      </w:hyperlink>
      <w:r>
        <w:t xml:space="preserve"> - A group of residents in Down East Maine is challenging the RSU 24 school district's anti-transgender policy, which was implemented shortly after Carla Jung, supported by the conservative PAC Maine First, was elected to the school board. The group, 24 Allies, filed a Freedom of Access Act request, obtaining over 900 pages of documents revealing communications between the school board, Superintendent Michael Eastman, and conservative groups like Maine First and the Maine Policy Institute. These documents suggest significant influence from these groups on the district's policies concerning transgender students, particularly related to Title IX, the federal statute prohibiting sex discrimination. The Maine Human Rights Commission has filed a lawsuit against RSU 24 and four other Maine districts, alleging violations of state law by banning transgender students from participating in sports and using facilities that align with their gender identity. RSU 24 serves nine communities in eastern Hancock County and western Washington County, including Mariaville, Waltham, Eastbrook, Franklin, Sullivan, Sorrento, Winter Harbor, Gouldsboro, and Steuben.</w:t>
      </w:r>
      <w:r/>
    </w:p>
    <w:p>
      <w:pPr>
        <w:pStyle w:val="ListNumber"/>
        <w:spacing w:line="240" w:lineRule="auto"/>
        <w:ind w:left="720"/>
      </w:pPr>
      <w:r/>
      <w:hyperlink r:id="rId12">
        <w:r>
          <w:rPr>
            <w:color w:val="0000EE"/>
            <w:u w:val="single"/>
          </w:rPr>
          <w:t>https://mainepolicy.org/maine-human-rights-commissions-new-lawsuit-a-state-level-battle-in-a-national-storm/</w:t>
        </w:r>
      </w:hyperlink>
      <w:r>
        <w:t xml:space="preserve"> - The Maine Human Rights Commission (MHRC) filed a lawsuit against five school districts, including RSU 24, alleging that their 'biological sex' policies violate the Maine Human Rights Act. The lawsuit asserts that gender identity discrimination has been prohibited in Maine since 2005 and references the 2014 Doe v. RSU 26 decision, which held that schools cannot deny transgender students access to facilities matching their gender identity. The article discusses the legal implications of the case within the broader national context of transgender rights in education.</w:t>
      </w:r>
      <w:r/>
    </w:p>
    <w:p>
      <w:pPr>
        <w:pStyle w:val="ListNumber"/>
        <w:spacing w:line="240" w:lineRule="auto"/>
        <w:ind w:left="720"/>
      </w:pPr>
      <w:r/>
      <w:hyperlink r:id="rId11">
        <w:r>
          <w:rPr>
            <w:color w:val="0000EE"/>
            <w:u w:val="single"/>
          </w:rPr>
          <w:t>https://www.themainewire.com/2025/11/maine-human-rights-commission-sues-schools-that-barred-trans-identifying-males-from-girls-sports/</w:t>
        </w:r>
      </w:hyperlink>
      <w:r>
        <w:t xml:space="preserve"> - The Maine Human Rights Commission (MHRC) filed a lawsuit against five Maine school districts, including RSU 24, after they enacted policies barring transgender-identifying males from participating in girls' sports and using facilities corresponding to their gender identity. The article highlights the conflict between state and federal authorities over transgender rights in education, noting that the U.S. Department of Education had previously threatened to withhold federal funding from Maine for its stance on transgender athletes.</w:t>
      </w:r>
      <w:r/>
    </w:p>
    <w:p>
      <w:pPr>
        <w:pStyle w:val="ListNumber"/>
        <w:spacing w:line="240" w:lineRule="auto"/>
        <w:ind w:left="720"/>
      </w:pPr>
      <w:r/>
      <w:hyperlink r:id="rId10">
        <w:r>
          <w:rPr>
            <w:color w:val="0000EE"/>
            <w:u w:val="single"/>
          </w:rPr>
          <w:t>https://www.mainepublic.org/education-news/2025-11-17/maine-human-rights-commission-files-against-five-schools-systems-for-discrimination-against-transgender-students</w:t>
        </w:r>
      </w:hyperlink>
      <w:r>
        <w:t xml:space="preserve"> - The Maine Human Rights Commission (MHRC) filed a lawsuit against five school districts, including RSU 24, alleging discrimination against transgender students. The lawsuit claims that the districts' policies create a hostile environment for gender non-conforming students and violate the Maine Human Rights Act. The article provides details on the districts named in the lawsuit and the legal arguments presented by the MHRC.</w:t>
      </w:r>
      <w:r/>
    </w:p>
    <w:p>
      <w:pPr>
        <w:pStyle w:val="ListNumber"/>
        <w:spacing w:line="240" w:lineRule="auto"/>
        <w:ind w:left="720"/>
      </w:pPr>
      <w:r/>
      <w:hyperlink r:id="rId13">
        <w:r>
          <w:rPr>
            <w:color w:val="0000EE"/>
            <w:u w:val="single"/>
          </w:rPr>
          <w:t>https://www.axios.com/2025/04/11/maine-transgender-athletes-policy-trump-order</w:t>
        </w:r>
      </w:hyperlink>
      <w:r>
        <w:t xml:space="preserve"> - Maine is standing firm on its policy to allow transgender athletes to compete in women's sports, rejecting federal pressure tied to Title IX compliance. Despite a directive from former President Trump intended to withhold federal education funding from schools that permit trans women or girls to participate in sports aligning with their gender identity, Maine's Attorney General's Office declined to alter its policies. In response, the U.S. Department of Education referred the matter to the Department of Justice for enforcement and began proceedings to cut K-12 education funding to the state.</w:t>
      </w:r>
      <w:r/>
    </w:p>
    <w:p>
      <w:pPr>
        <w:pStyle w:val="ListNumber"/>
        <w:spacing w:line="240" w:lineRule="auto"/>
        <w:ind w:left="720"/>
      </w:pPr>
      <w:r/>
      <w:hyperlink r:id="rId14">
        <w:r>
          <w:rPr>
            <w:color w:val="0000EE"/>
            <w:u w:val="single"/>
          </w:rPr>
          <w:t>https://www.axios.com/2025/04/16/trump-admin-suing-maine-transgender-athletes</w:t>
        </w:r>
      </w:hyperlink>
      <w:r>
        <w:t xml:space="preserve"> - The U.S. Department of Justice has filed a civil lawsuit against Maine for its policy allowing transgender girls to participate in girls' sports, a move that defies an order issued by President Trump. Attorney General Pam Bondi announced the action at a press conference, citing Title IX as the legal basis, although Maine contends Title IX does not prohibit such participation. The conflict escalated after Maine's attorney general declined to sign an agreement enforcing a policy change. In response, the Department of Education threatened to withdraw federal education funding and referred the matter to the DOJ.</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bangordailynews.com/2026/09/09/hancock/hancock-education/rsu-24-maine-school-anti-trans-policies/" TargetMode="External"/><Relationship Id="rId10" Type="http://schemas.openxmlformats.org/officeDocument/2006/relationships/hyperlink" Target="https://www.mainepublic.org/education-news/2025-11-17/maine-human-rights-commission-files-against-five-schools-systems-for-discrimination-against-transgender-students" TargetMode="External"/><Relationship Id="rId11" Type="http://schemas.openxmlformats.org/officeDocument/2006/relationships/hyperlink" Target="https://www.themainewire.com/2025/11/maine-human-rights-commission-sues-schools-that-barred-trans-identifying-males-from-girls-sports/" TargetMode="External"/><Relationship Id="rId12" Type="http://schemas.openxmlformats.org/officeDocument/2006/relationships/hyperlink" Target="https://mainepolicy.org/maine-human-rights-commissions-new-lawsuit-a-state-level-battle-in-a-national-storm/" TargetMode="External"/><Relationship Id="rId13" Type="http://schemas.openxmlformats.org/officeDocument/2006/relationships/hyperlink" Target="https://www.axios.com/2025/04/11/maine-transgender-athletes-policy-trump-order" TargetMode="External"/><Relationship Id="rId14" Type="http://schemas.openxmlformats.org/officeDocument/2006/relationships/hyperlink" Target="https://www.axios.com/2025/04/16/trump-admin-suing-maine-transgender-athlet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