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Fairbanks School Board LGBTQ History Month Vote Sparks Debate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Fairbanks School Board has approved an October LGBTQ History Month resolution, prompting a sharp debate over public participation, parental rights and how schools should balance inclusion with classroom priorities.</w:t>
      </w:r>
      <w:r/>
    </w:p>
    <w:p>
      <w:pPr>
        <w:pStyle w:val="Heading2"/>
      </w:pPr>
      <w:r>
        <w:t>Essential Takeaways</w:t>
      </w:r>
      <w:r/>
      <w:r/>
    </w:p>
    <w:p>
      <w:pPr>
        <w:pStyle w:val="ListBullet"/>
        <w:spacing w:line="240" w:lineRule="auto"/>
        <w:ind w:left="720"/>
      </w:pPr>
      <w:r/>
      <w:r>
        <w:rPr>
          <w:b/>
        </w:rPr>
        <w:t>Unanimous decision:</w:t>
      </w:r>
      <w:r>
        <w:t xml:space="preserve"> The board approved the resolution during its 15 September meeting.</w:t>
      </w:r>
      <w:r/>
    </w:p>
    <w:p>
      <w:pPr>
        <w:pStyle w:val="ListBullet"/>
        <w:spacing w:line="240" w:lineRule="auto"/>
        <w:ind w:left="720"/>
      </w:pPr>
      <w:r/>
      <w:r>
        <w:rPr>
          <w:b/>
        </w:rPr>
        <w:t>Consent agenda concern:</w:t>
      </w:r>
      <w:r>
        <w:t xml:space="preserve"> Critics objected to the proposal being handled alongside routine administrative items.</w:t>
      </w:r>
      <w:r/>
    </w:p>
    <w:p>
      <w:pPr>
        <w:pStyle w:val="ListBullet"/>
        <w:spacing w:line="240" w:lineRule="auto"/>
        <w:ind w:left="720"/>
      </w:pPr>
      <w:r/>
      <w:r>
        <w:rPr>
          <w:b/>
        </w:rPr>
        <w:t>Divided testimony:</w:t>
      </w:r>
      <w:r>
        <w:t xml:space="preserve"> Eighteen residents spoke during public testimony, with opinions split between support and opposition.</w:t>
      </w:r>
      <w:r/>
    </w:p>
    <w:p>
      <w:pPr>
        <w:pStyle w:val="ListBullet"/>
        <w:spacing w:line="240" w:lineRule="auto"/>
        <w:ind w:left="720"/>
      </w:pPr>
      <w:r/>
      <w:r>
        <w:rPr>
          <w:b/>
        </w:rPr>
        <w:t>Parental questions:</w:t>
      </w:r>
      <w:r>
        <w:t xml:space="preserve"> Some speakers asked how any lessons involving human sexuality would comply with Alaska’s notification and review rules.</w:t>
      </w:r>
      <w:r/>
    </w:p>
    <w:p>
      <w:pPr>
        <w:pStyle w:val="ListBullet"/>
        <w:spacing w:line="240" w:lineRule="auto"/>
        <w:ind w:left="720"/>
      </w:pPr>
      <w:r/>
      <w:r>
        <w:rPr>
          <w:b/>
        </w:rPr>
        <w:t>Wider issue:</w:t>
      </w:r>
      <w:r>
        <w:t xml:space="preserve"> The dispute reflects a broader argument about whether schools should recognise identity-based observances or focus strictly on academic instruction.</w:t>
      </w:r>
      <w:r/>
      <w:r/>
    </w:p>
    <w:p>
      <w:pPr>
        <w:pStyle w:val="Heading2"/>
      </w:pPr>
      <w:r>
        <w:t>A routine agenda item becomes anything but routine</w:t>
      </w:r>
      <w:r/>
    </w:p>
    <w:p>
      <w:r/>
      <w:r>
        <w:t>The Fairbanks North Star Borough School District’s decision to recognise October as LGBTQ History Month might have passed quietly. Instead, the way it was handled has become the centre of the controversy.</w:t>
      </w:r>
      <w:r/>
    </w:p>
    <w:p>
      <w:r/>
      <w:r>
        <w:t xml:space="preserve">According to the school district’s meeting information, a consent agenda is designed for routine business that can be approved in a single vote. That usually means minutes, reports, standard contracts and other matters unlikely to need extended discussion. The resolution’s opponents argued that a politically sensitive recognition policy didn’t fit that description. The district’s published resolutions provide the formal administrative context. </w:t>
      </w:r>
      <w:hyperlink r:id="rId9">
        <w:r>
          <w:rPr>
            <w:color w:val="0000EE"/>
            <w:u w:val="single"/>
          </w:rPr>
          <w:t>[5]</w:t>
        </w:r>
      </w:hyperlink>
      <w:r>
        <w:t xml:space="preserve">, </w:t>
      </w:r>
      <w:hyperlink r:id="rId10">
        <w:r>
          <w:rPr>
            <w:color w:val="0000EE"/>
            <w:u w:val="single"/>
          </w:rPr>
          <w:t>[6]</w:t>
        </w:r>
      </w:hyperlink>
      <w:r/>
    </w:p>
    <w:p>
      <w:r/>
      <w:r>
        <w:t xml:space="preserve">The issue was approved unanimously, according to reporting from Webcenter Fairbanks. Because it appeared on the consent agenda, board members didn’t debate it separately before voting, and the public couldn’t address that specific item during the vote itself. </w:t>
      </w:r>
      <w:hyperlink r:id="rId11">
        <w:r>
          <w:rPr>
            <w:color w:val="0000EE"/>
            <w:u w:val="single"/>
          </w:rPr>
          <w:t>[2]</w:t>
        </w:r>
      </w:hyperlink>
      <w:r>
        <w:t xml:space="preserve">, </w:t>
      </w:r>
      <w:hyperlink r:id="rId10">
        <w:r>
          <w:rPr>
            <w:color w:val="0000EE"/>
            <w:u w:val="single"/>
          </w:rPr>
          <w:t>[6]</w:t>
        </w:r>
      </w:hyperlink>
      <w:r/>
    </w:p>
    <w:p>
      <w:r/>
      <w:r>
        <w:t>That distinction mattered to residents who had turned up expecting a fuller exchange. It’s one thing to disagree with a decision; it’s another to feel the decision was bundled into paperwork before the conversation had properly started.</w:t>
      </w:r>
      <w:r/>
    </w:p>
    <w:p>
      <w:pPr>
        <w:pStyle w:val="Heading2"/>
      </w:pPr>
      <w:r>
        <w:t>Residents split over inclusion and school priorities</w:t>
      </w:r>
      <w:r/>
    </w:p>
    <w:p>
      <w:r/>
      <w:r>
        <w:t xml:space="preserve">Despite the agenda format, 18 people spoke during the meeting’s general public testimony period. Ten opposed the resolution and eight supported it, creating a relatively even split rather than a one-sided backlash or show of support. </w:t>
      </w:r>
      <w:hyperlink r:id="rId11">
        <w:r>
          <w:rPr>
            <w:color w:val="0000EE"/>
            <w:u w:val="single"/>
          </w:rPr>
          <w:t>[2]</w:t>
        </w:r>
      </w:hyperlink>
      <w:r>
        <w:t xml:space="preserve">, </w:t>
      </w:r>
      <w:hyperlink r:id="rId12">
        <w:r>
          <w:rPr>
            <w:color w:val="0000EE"/>
            <w:u w:val="single"/>
          </w:rPr>
          <w:t>[3]</w:t>
        </w:r>
      </w:hyperlink>
      <w:r/>
    </w:p>
    <w:p>
      <w:r/>
      <w:r>
        <w:t>Supporters said recognising LGBTQ history could help students feel safe, respected and able to participate fully in school life. Their argument was that visibility and protection from bullying are part of a school’s responsibility, particularly for pupils who may not feel supported elsewhere.</w:t>
      </w:r>
      <w:r/>
    </w:p>
    <w:p>
      <w:r/>
      <w:r>
        <w:t xml:space="preserve">Opponents generally stressed that they weren’t calling for mistreatment of LGBTQ pupils. Instead, they questioned whether a public school district should actively promote a particular identity-based observance. That distinction ran through the testimony: dignity and anti-bullying measures attracted broader agreement, while the role of schools in affirming contested social ideas proved far more divisive. </w:t>
      </w:r>
      <w:hyperlink r:id="rId11">
        <w:r>
          <w:rPr>
            <w:color w:val="0000EE"/>
            <w:u w:val="single"/>
          </w:rPr>
          <w:t>[2]</w:t>
        </w:r>
      </w:hyperlink>
      <w:r>
        <w:t xml:space="preserve">, </w:t>
      </w:r>
      <w:hyperlink r:id="rId12">
        <w:r>
          <w:rPr>
            <w:color w:val="0000EE"/>
            <w:u w:val="single"/>
          </w:rPr>
          <w:t>[3]</w:t>
        </w:r>
      </w:hyperlink>
      <w:r/>
    </w:p>
    <w:p>
      <w:pPr>
        <w:pStyle w:val="Heading2"/>
      </w:pPr>
      <w:r>
        <w:t>Why the consent agenda became the flashpoint</w:t>
      </w:r>
      <w:r/>
    </w:p>
    <w:p>
      <w:r/>
      <w:r>
        <w:t>Consent agendas are useful because they keep meetings moving. School boards deal with a mountain of procedural business, and forcing every contract or set of minutes into a full debate would make meetings painfully slow. But the same efficiency can look like avoidance when the item is culturally charged.</w:t>
      </w:r>
      <w:r/>
    </w:p>
    <w:p>
      <w:r/>
      <w:r>
        <w:t xml:space="preserve">The district’s meeting guidance explains the purpose and mechanics of different meeting types, while the borough’s agenda centre shows how public bodies organise meeting business and supporting documents. Neither changes the central question raised by critics: whether this particular resolution should have been separated for discussion. </w:t>
      </w:r>
      <w:hyperlink r:id="rId10">
        <w:r>
          <w:rPr>
            <w:color w:val="0000EE"/>
            <w:u w:val="single"/>
          </w:rPr>
          <w:t>[6]</w:t>
        </w:r>
      </w:hyperlink>
      <w:r>
        <w:t xml:space="preserve">, </w:t>
      </w:r>
      <w:hyperlink r:id="rId13">
        <w:r>
          <w:rPr>
            <w:color w:val="0000EE"/>
            <w:u w:val="single"/>
          </w:rPr>
          <w:t>[7]</w:t>
        </w:r>
      </w:hyperlink>
      <w:r/>
    </w:p>
    <w:p>
      <w:r/>
      <w:r>
        <w:t>The disagreement also highlights a practical lesson for residents. If a proposal is listed on a consent agenda, the most effective opportunity to speak may be during an open testimony period, before the vote, or by asking a board member to remove the item for separate consideration. The rules may be procedural, but timing is often where public influence is won or lost.</w:t>
      </w:r>
      <w:r/>
    </w:p>
    <w:p>
      <w:pPr>
        <w:pStyle w:val="Heading2"/>
      </w:pPr>
      <w:r>
        <w:t>Parents ask what pupils will actually be taught</w:t>
      </w:r>
      <w:r/>
    </w:p>
    <w:p>
      <w:r/>
      <w:r>
        <w:t>Some of the sharpest questions concerned implementation. Would LGBTQ History Month involve displays and historical material, or would it extend to lessons and activities about sexual orientation and gender identity? The answer matters because recognition and instruction aren’t necessarily the same thing.</w:t>
      </w:r>
      <w:r/>
    </w:p>
    <w:p>
      <w:r/>
      <w:r>
        <w:t xml:space="preserve">One speaker cited Alaska’s parental notification and material-review requirements for activities involving human sexuality. The concern was that a broad annual resolution could be used to introduce content without parents receiving the notice or access to materials they would expect. The issue now sits at the intersection of district policy, curriculum procedures and state requirements. </w:t>
      </w:r>
      <w:hyperlink r:id="rId14">
        <w:r>
          <w:rPr>
            <w:color w:val="0000EE"/>
            <w:u w:val="single"/>
          </w:rPr>
          <w:t>[1]</w:t>
        </w:r>
      </w:hyperlink>
      <w:r>
        <w:t xml:space="preserve">, </w:t>
      </w:r>
      <w:hyperlink r:id="rId9">
        <w:r>
          <w:rPr>
            <w:color w:val="0000EE"/>
            <w:u w:val="single"/>
          </w:rPr>
          <w:t>[5]</w:t>
        </w:r>
      </w:hyperlink>
      <w:r/>
    </w:p>
    <w:p>
      <w:r/>
      <w:r>
        <w:t xml:space="preserve">The district’s published resolutions page is therefore likely to matter as much as the vote itself. The wording of the resolution, any accompanying guidance and the materials schools choose to use will determine whether the month remains primarily commemorative or develops into a more substantial teaching programme. </w:t>
      </w:r>
      <w:hyperlink r:id="rId9">
        <w:r>
          <w:rPr>
            <w:color w:val="0000EE"/>
            <w:u w:val="single"/>
          </w:rPr>
          <w:t>[5]</w:t>
        </w:r>
      </w:hyperlink>
      <w:r/>
    </w:p>
    <w:p>
      <w:pPr>
        <w:pStyle w:val="Heading2"/>
      </w:pPr>
      <w:r>
        <w:t>The argument reflects a bigger American culture-war divide</w:t>
      </w:r>
      <w:r/>
    </w:p>
    <w:p>
      <w:r/>
      <w:r>
        <w:t>Fairbanks isn’t debating this in isolation. Across the United States, schools are being asked to navigate competing demands: protect pupils from bullying, reflect the histories of minority communities, respect family beliefs and maintain public confidence in curriculum decisions.</w:t>
      </w:r>
      <w:r/>
    </w:p>
    <w:p>
      <w:r/>
      <w:r>
        <w:t xml:space="preserve">Local reporting from KUAC shows that LGBTQ History Month has appeared in Alaskan education discussions before, while the Fairbanks coverage places the latest vote in a current district-level context. Together, they suggest that the argument is less about one calendar month than about who decides what inclusion should look like in a classroom. </w:t>
      </w:r>
      <w:hyperlink r:id="rId11">
        <w:r>
          <w:rPr>
            <w:color w:val="0000EE"/>
            <w:u w:val="single"/>
          </w:rPr>
          <w:t>[2]</w:t>
        </w:r>
      </w:hyperlink>
      <w:r>
        <w:t xml:space="preserve">, </w:t>
      </w:r>
      <w:hyperlink r:id="rId15">
        <w:r>
          <w:rPr>
            <w:color w:val="0000EE"/>
            <w:u w:val="single"/>
          </w:rPr>
          <w:t>[4]</w:t>
        </w:r>
      </w:hyperlink>
      <w:r/>
    </w:p>
    <w:p>
      <w:r/>
      <w:r>
        <w:t>For families, the most useful next step is to watch the district’s calendars, board packets and curriculum notices rather than rely on social media summaries. Ask what pupils will be taught, whether resources will be available in advance and how parents can raise concerns. Clear information may not end the disagreement, but it can replace suspicion with something more constructive.</w:t>
      </w:r>
      <w:r/>
    </w:p>
    <w:p>
      <w:r/>
      <w:r>
        <w:t>The Fairbanks debate is likely to continue long after October ends, because the real question is how schools can make every pupil feel safe without making families feel shut out.</w:t>
      </w:r>
      <w:r/>
    </w:p>
    <w:p>
      <w:r/>
      <w:r>
        <w:t>Explore the resolution, meeting materials and district policies before drawing conclusions.</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11">
        <w:r>
          <w:rPr>
            <w:color w:val="0000EE"/>
            <w:u w:val="single"/>
          </w:rPr>
          <w:t>[2]</w:t>
        </w:r>
      </w:hyperlink>
      <w:r>
        <w:t xml:space="preserve">, </w:t>
      </w:r>
      <w:hyperlink r:id="rId9">
        <w:r>
          <w:rPr>
            <w:color w:val="0000EE"/>
            <w:u w:val="single"/>
          </w:rPr>
          <w:t>[5]</w:t>
        </w:r>
      </w:hyperlink>
      <w:r>
        <w:t xml:space="preserve">- Paragraph 2: </w:t>
      </w:r>
      <w:hyperlink r:id="rId9">
        <w:r>
          <w:rPr>
            <w:color w:val="0000EE"/>
            <w:u w:val="single"/>
          </w:rPr>
          <w:t>[5]</w:t>
        </w:r>
      </w:hyperlink>
      <w:r>
        <w:t xml:space="preserve">, </w:t>
      </w:r>
      <w:hyperlink r:id="rId10">
        <w:r>
          <w:rPr>
            <w:color w:val="0000EE"/>
            <w:u w:val="single"/>
          </w:rPr>
          <w:t>[6]</w:t>
        </w:r>
      </w:hyperlink>
      <w:r>
        <w:t xml:space="preserve">- Paragraph 3: </w:t>
      </w:r>
      <w:hyperlink r:id="rId11">
        <w:r>
          <w:rPr>
            <w:color w:val="0000EE"/>
            <w:u w:val="single"/>
          </w:rPr>
          <w:t>[2]</w:t>
        </w:r>
      </w:hyperlink>
      <w:r>
        <w:t xml:space="preserve">, </w:t>
      </w:r>
      <w:hyperlink r:id="rId10">
        <w:r>
          <w:rPr>
            <w:color w:val="0000EE"/>
            <w:u w:val="single"/>
          </w:rPr>
          <w:t>[6]</w:t>
        </w:r>
      </w:hyperlink>
      <w:r>
        <w:t xml:space="preserve">- Paragraph 4: </w:t>
      </w:r>
      <w:hyperlink r:id="rId11">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[2]</w:t>
        </w:r>
      </w:hyperlink>
      <w:r>
        <w:t xml:space="preserve">, </w:t>
      </w:r>
      <w:hyperlink r:id="rId12">
        <w:r>
          <w:rPr>
            <w:color w:val="0000EE"/>
            <w:u w:val="single"/>
          </w:rPr>
          <w:t>[3]</w:t>
        </w:r>
      </w:hyperlink>
      <w:r>
        <w:t xml:space="preserve">- Paragraph 6: </w:t>
      </w:r>
      <w:hyperlink r:id="rId10">
        <w:r>
          <w:rPr>
            <w:color w:val="0000EE"/>
            <w:u w:val="single"/>
          </w:rPr>
          <w:t>[6]</w:t>
        </w:r>
      </w:hyperlink>
      <w:r>
        <w:t xml:space="preserve">, </w:t>
      </w:r>
      <w:hyperlink r:id="rId13">
        <w:r>
          <w:rPr>
            <w:color w:val="0000EE"/>
            <w:u w:val="single"/>
          </w:rPr>
          <w:t>[7]</w:t>
        </w:r>
      </w:hyperlink>
      <w:r>
        <w:t xml:space="preserve">- Paragraph 7: </w:t>
      </w:r>
      <w:hyperlink r:id="rId10">
        <w:r>
          <w:rPr>
            <w:color w:val="0000EE"/>
            <w:u w:val="single"/>
          </w:rPr>
          <w:t>[6]</w:t>
        </w:r>
      </w:hyperlink>
      <w:r>
        <w:t xml:space="preserve">, </w:t>
      </w:r>
      <w:hyperlink r:id="rId13">
        <w:r>
          <w:rPr>
            <w:color w:val="0000EE"/>
            <w:u w:val="single"/>
          </w:rPr>
          <w:t>[7]</w:t>
        </w:r>
      </w:hyperlink>
      <w:r>
        <w:t xml:space="preserve">- Paragraph 8: </w:t>
      </w:r>
      <w:hyperlink r:id="rId9">
        <w:r>
          <w:rPr>
            <w:color w:val="0000EE"/>
            <w:u w:val="single"/>
          </w:rPr>
          <w:t>[5]</w:t>
        </w:r>
      </w:hyperlink>
      <w:r>
        <w:t xml:space="preserve">- Paragraph 9: </w:t>
      </w:r>
      <w:hyperlink r:id="rId14">
        <w:r>
          <w:rPr>
            <w:color w:val="0000EE"/>
            <w:u w:val="single"/>
          </w:rPr>
          <w:t>[1]</w:t>
        </w:r>
      </w:hyperlink>
      <w:r>
        <w:t xml:space="preserve">, </w:t>
      </w:r>
      <w:hyperlink r:id="rId9">
        <w:r>
          <w:rPr>
            <w:color w:val="0000EE"/>
            <w:u w:val="single"/>
          </w:rPr>
          <w:t>[5]</w:t>
        </w:r>
      </w:hyperlink>
      <w:r>
        <w:t xml:space="preserve">- Paragraph 10: </w:t>
      </w:r>
      <w:hyperlink r:id="rId9">
        <w:r>
          <w:rPr>
            <w:color w:val="0000EE"/>
            <w:u w:val="single"/>
          </w:rPr>
          <w:t>[5]</w:t>
        </w:r>
      </w:hyperlink>
      <w:r>
        <w:t xml:space="preserve">- Paragraph 11: </w:t>
      </w:r>
      <w:hyperlink r:id="rId11">
        <w:r>
          <w:rPr>
            <w:color w:val="0000EE"/>
            <w:u w:val="single"/>
          </w:rPr>
          <w:t>[2]</w:t>
        </w:r>
      </w:hyperlink>
      <w:r>
        <w:t xml:space="preserve">, </w:t>
      </w:r>
      <w:hyperlink r:id="rId15">
        <w:r>
          <w:rPr>
            <w:color w:val="0000EE"/>
            <w:u w:val="single"/>
          </w:rPr>
          <w:t>[4]</w:t>
        </w:r>
      </w:hyperlink>
      <w:r>
        <w:t xml:space="preserve">- Paragraph 12: </w:t>
      </w:r>
      <w:hyperlink r:id="rId11">
        <w:r>
          <w:rPr>
            <w:color w:val="0000EE"/>
            <w:u w:val="single"/>
          </w:rPr>
          <w:t>[2]</w:t>
        </w:r>
      </w:hyperlink>
      <w:r>
        <w:t xml:space="preserve">, </w:t>
      </w:r>
      <w:hyperlink r:id="rId15">
        <w:r>
          <w:rPr>
            <w:color w:val="0000EE"/>
            <w:u w:val="single"/>
          </w:rPr>
          <w:t>[4]</w:t>
        </w:r>
      </w:hyperlink>
      <w:r>
        <w:t xml:space="preserve">- Paragraph 13: </w:t>
      </w:r>
      <w:hyperlink r:id="rId9">
        <w:r>
          <w:rPr>
            <w:color w:val="0000EE"/>
            <w:u w:val="single"/>
          </w:rPr>
          <w:t>[5]</w:t>
        </w:r>
      </w:hyperlink>
      <w:r>
        <w:t xml:space="preserve">, </w:t>
      </w:r>
      <w:hyperlink r:id="rId10">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https://alaskawatchman.com/2026/09/17/fairbanks-school-board-abuses-consent-agenda-to-impose-lgbtq-dogma-on-students/</w:t>
        </w:r>
      </w:hyperlink>
      <w:r>
        <w:t xml:space="preserve"> - Please view link - unable to able to access data</w:t>
      </w:r>
      <w:r/>
    </w:p>
    <w:p>
      <w:pPr>
        <w:pStyle w:val="ListNumber"/>
        <w:spacing w:line="240" w:lineRule="auto"/>
        <w:ind w:left="720"/>
      </w:pPr>
      <w:r/>
      <w:hyperlink r:id="rId11">
        <w:r>
          <w:rPr>
            <w:color w:val="0000EE"/>
            <w:u w:val="single"/>
          </w:rPr>
          <w:t>https://www.webcenterfairbanks.com/2026/09/17/fairbanks-school-district-recognize-lgbtq-history-month-october/</w:t>
        </w:r>
      </w:hyperlink>
      <w:r>
        <w:t xml:space="preserve"> - The Fairbanks North Star Borough School District passed a resolution on September 15, 2026, recognising October as LGBTQ History Month. The resolution encourages schools to promote a community where all students and staff are supported and affirmed, allowing students to acknowledge the history, culture, and contributions of LGBTQ individuals. The decision was made without public debate, as the resolution was included in the consent agenda, which typically handles routine items without public input.</w:t>
      </w:r>
      <w:r/>
    </w:p>
    <w:p>
      <w:pPr>
        <w:pStyle w:val="ListNumber"/>
        <w:spacing w:line="240" w:lineRule="auto"/>
        <w:ind w:left="720"/>
      </w:pPr>
      <w:r/>
      <w:hyperlink r:id="rId12">
        <w:r>
          <w:rPr>
            <w:color w:val="0000EE"/>
            <w:u w:val="single"/>
          </w:rPr>
          <w:t>https://dermotcole.squarespace.com/reportingfromalaska/2026/9/16/bnostd</w:t>
        </w:r>
      </w:hyperlink>
      <w:r>
        <w:t xml:space="preserve"> - Dermot Cole discusses the Fairbanks School Board's annual resolution recognising October as LGBTQ History Month. He notes that the board has adopted similar resolutions since 2018, and that the approval of such resolutions does not change the curriculum or lessons in public schools. Cole addresses the reactions of school board candidate Jaimee Coon and Assembly candidate Miguel Ramirez, who have raised concerns about the resolution.</w:t>
      </w:r>
      <w:r/>
    </w:p>
    <w:p>
      <w:pPr>
        <w:pStyle w:val="ListNumber"/>
        <w:spacing w:line="240" w:lineRule="auto"/>
        <w:ind w:left="720"/>
      </w:pPr>
      <w:r/>
      <w:hyperlink r:id="rId15">
        <w:r>
          <w:rPr>
            <w:color w:val="0000EE"/>
            <w:u w:val="single"/>
          </w:rPr>
          <w:t>https://fm.kuac.org/local-news/2019-09-24/lgbtq-history-month</w:t>
        </w:r>
      </w:hyperlink>
      <w:r>
        <w:t xml:space="preserve"> - In 2019, the Fairbanks North Star Borough School Board passed a resolution recognising National LGBTQ History Month. The resolution aims to highlight the achievements of LGBTQ individuals and provide students with role models from the community. The decision was made without changing the existing curriculum or lessons, though it remains controversial for some community members.</w:t>
      </w:r>
      <w:r/>
    </w:p>
    <w:p>
      <w:pPr>
        <w:pStyle w:val="ListNumber"/>
        <w:spacing w:line="240" w:lineRule="auto"/>
        <w:ind w:left="720"/>
      </w:pPr>
      <w:r/>
      <w:hyperlink r:id="rId9">
        <w:r>
          <w:rPr>
            <w:color w:val="0000EE"/>
            <w:u w:val="single"/>
          </w:rPr>
          <w:t>https://www.k12northstar.org/school-board/resolutions</w:t>
        </w:r>
      </w:hyperlink>
      <w:r>
        <w:t xml:space="preserve"> - The Fairbanks North Star Borough School District's official website lists various resolutions adopted by the School Board. Among these is Resolution 2026-07, which recognises LGBTQ History Month. The website provides access to the full text of each resolution, offering transparency and insight into the district's official positions on various matters.</w:t>
      </w:r>
      <w:r/>
    </w:p>
    <w:p>
      <w:pPr>
        <w:pStyle w:val="ListNumber"/>
        <w:spacing w:line="240" w:lineRule="auto"/>
        <w:ind w:left="720"/>
      </w:pPr>
      <w:r/>
      <w:hyperlink r:id="rId10">
        <w:r>
          <w:rPr>
            <w:color w:val="0000EE"/>
            <w:u w:val="single"/>
          </w:rPr>
          <w:t>https://www.k12northstar.org/school-board/meetings/meeting-types</w:t>
        </w:r>
      </w:hyperlink>
      <w:r>
        <w:t xml:space="preserve"> - The Fairbanks North Star Borough School District outlines the different types of meetings held by the School Board, including regular meetings, special meetings, and work sessions. Regular meetings occur on the first and third Tuesday of most months when school is in session, and are typically used to discuss and vote on various district matters, including policy changes and resolutions.</w:t>
      </w:r>
      <w:r/>
    </w:p>
    <w:p>
      <w:pPr>
        <w:pStyle w:val="ListNumber"/>
        <w:spacing w:line="240" w:lineRule="auto"/>
        <w:ind w:left="720"/>
      </w:pPr>
      <w:r/>
      <w:hyperlink r:id="rId13">
        <w:r>
          <w:rPr>
            <w:color w:val="0000EE"/>
            <w:u w:val="single"/>
          </w:rPr>
          <w:t>https://www.co.fairbanks.ak.us/AgendaCenter</w:t>
        </w:r>
      </w:hyperlink>
      <w:r>
        <w:t xml:space="preserve"> - The Fairbanks North Star Borough's Agenda Center provides current meeting information for the assembly, administrative hearings, boards, and commissions. It includes agendas, minutes, and media for various meetings, allowing the public to stay informed about upcoming and past meetings, as well as the decisions made by different bodies within the borough.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k12northstar.org/school-board/resolutions" TargetMode="External"/><Relationship Id="rId10" Type="http://schemas.openxmlformats.org/officeDocument/2006/relationships/hyperlink" Target="https://www.k12northstar.org/school-board/meetings/meeting-types" TargetMode="External"/><Relationship Id="rId11" Type="http://schemas.openxmlformats.org/officeDocument/2006/relationships/hyperlink" Target="https://www.webcenterfairbanks.com/2026/09/17/fairbanks-school-district-recognize-lgbtq-history-month-october/" TargetMode="External"/><Relationship Id="rId12" Type="http://schemas.openxmlformats.org/officeDocument/2006/relationships/hyperlink" Target="https://dermotcole.squarespace.com/reportingfromalaska/2026/9/16/bnostd" TargetMode="External"/><Relationship Id="rId13" Type="http://schemas.openxmlformats.org/officeDocument/2006/relationships/hyperlink" Target="https://www.co.fairbanks.ak.us/AgendaCenter" TargetMode="External"/><Relationship Id="rId14" Type="http://schemas.openxmlformats.org/officeDocument/2006/relationships/hyperlink" Target="https://alaskawatchman.com/2026/09/17/fairbanks-school-board-abuses-consent-agenda-to-impose-lgbtq-dogma-on-students/" TargetMode="External"/><Relationship Id="rId15" Type="http://schemas.openxmlformats.org/officeDocument/2006/relationships/hyperlink" Target="https://fm.kuac.org/local-news/2019-09-24/lgbtq-history-mont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