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Inclusive Transgender Healthcare Still Matters Today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Patients and clinicians are navigating a healthcare system where transgender people can still face refusal, misunderstanding and fear. Across the US, evidence links discrimination with poorer health and reduced trust in medical services, making inclusive transgender healthcare more than a policy debate. It’s a practical, urgent part of safe and ethical nursing care.</w:t>
      </w:r>
      <w:r/>
    </w:p>
    <w:p>
      <w:pPr>
        <w:pStyle w:val="Heading2"/>
      </w:pPr>
      <w:r>
        <w:t>Essential Takeaways</w:t>
      </w:r>
      <w:r/>
      <w:r/>
    </w:p>
    <w:p>
      <w:pPr>
        <w:pStyle w:val="ListBullet"/>
        <w:spacing w:line="240" w:lineRule="auto"/>
        <w:ind w:left="720"/>
      </w:pPr>
      <w:r/>
      <w:r>
        <w:rPr>
          <w:b/>
        </w:rPr>
        <w:t>Barriers remain widespread:</w:t>
      </w:r>
      <w:r>
        <w:t xml:space="preserve"> Transgender patients may delay or avoid treatment after previous discrimination or fear of being mistreated.</w:t>
      </w:r>
      <w:r/>
    </w:p>
    <w:p>
      <w:pPr>
        <w:pStyle w:val="ListBullet"/>
        <w:spacing w:line="240" w:lineRule="auto"/>
        <w:ind w:left="720"/>
      </w:pPr>
      <w:r/>
      <w:r>
        <w:rPr>
          <w:b/>
        </w:rPr>
        <w:t>Health risks are interconnected:</w:t>
      </w:r>
      <w:r>
        <w:t xml:space="preserve"> Stress, stigma and limited access can affect mental health, cardiovascular wellbeing and routine care.</w:t>
      </w:r>
      <w:r/>
    </w:p>
    <w:p>
      <w:pPr>
        <w:pStyle w:val="ListBullet"/>
        <w:spacing w:line="240" w:lineRule="auto"/>
        <w:ind w:left="720"/>
      </w:pPr>
      <w:r/>
      <w:r>
        <w:rPr>
          <w:b/>
        </w:rPr>
        <w:t>Young people need support:</w:t>
      </w:r>
      <w:r>
        <w:t xml:space="preserve"> LGBTQ+ youth face elevated risks when hostile environments limit safety, belonging and access to trusted adults.</w:t>
      </w:r>
      <w:r/>
    </w:p>
    <w:p>
      <w:pPr>
        <w:pStyle w:val="ListBullet"/>
        <w:spacing w:line="240" w:lineRule="auto"/>
        <w:ind w:left="720"/>
      </w:pPr>
      <w:r/>
      <w:r>
        <w:rPr>
          <w:b/>
        </w:rPr>
        <w:t>Training makes a difference:</w:t>
      </w:r>
      <w:r>
        <w:t xml:space="preserve"> Inclusive language, trauma-informed practice and better education can help clinicians provide more respectful care.</w:t>
      </w:r>
      <w:r/>
    </w:p>
    <w:p>
      <w:pPr>
        <w:pStyle w:val="ListBullet"/>
        <w:spacing w:line="240" w:lineRule="auto"/>
        <w:ind w:left="720"/>
      </w:pPr>
      <w:r/>
      <w:r>
        <w:rPr>
          <w:b/>
        </w:rPr>
        <w:t>Advocacy is practical:</w:t>
      </w:r>
      <w:r>
        <w:t xml:space="preserve"> Accurate records, clear policies and community partnerships can make healthcare settings safer and easier to navigate.</w:t>
      </w:r>
      <w:r/>
      <w:r/>
    </w:p>
    <w:p>
      <w:pPr>
        <w:pStyle w:val="Heading2"/>
      </w:pPr>
      <w:r>
        <w:t>Discrimination can become a health risk</w:t>
      </w:r>
      <w:r/>
    </w:p>
    <w:p>
      <w:r/>
      <w:r>
        <w:t>For many transgender patients, the hardest part of seeking care isn't the appointment itself. It's the worry that staff may dismiss their identity, use the wrong name, question their treatment or refuse help altogether. Consumer Reports has documented how these experiences can push people away from doctors, dentists and other essential services.</w:t>
      </w:r>
      <w:r/>
    </w:p>
    <w:p>
      <w:r/>
      <w:r>
        <w:t>That avoidance matters. Routine checks, preventative care and early treatment all depend on trust, yet trust is fragile when a patient has already encountered stigma. Research indexed by PubMed has also connected discrimination and barriers to care with poorer health outcomes, underlining that this isn't simply a matter of courtesy. It can shape whether someone receives care at all.</w:t>
      </w:r>
      <w:r/>
    </w:p>
    <w:p>
      <w:pPr>
        <w:pStyle w:val="Heading2"/>
      </w:pPr>
      <w:r>
        <w:t>The effects reach beyond the consultation room</w:t>
      </w:r>
      <w:r/>
    </w:p>
    <w:p>
      <w:r/>
      <w:r>
        <w:t>Healthcare inequality doesn't sit neatly in one category. The American Heart Association has reported persistent disparities affecting transgender adults, while separate research has linked discrimination-related stress with poorer cardiovascular health. That makes the emotional climate around care clinically relevant, not a soft extra.</w:t>
      </w:r>
      <w:r/>
    </w:p>
    <w:p>
      <w:r/>
      <w:r>
        <w:t>For patients already managing financial pressure, housing instability or limited insurance coverage, another hostile encounter can be the final reason to postpone treatment. The result is a quiet but damaging cycle: people delay care, health problems become harder to manage and the system later sees them at a more advanced stage.</w:t>
      </w:r>
      <w:r/>
    </w:p>
    <w:p>
      <w:pPr>
        <w:pStyle w:val="Heading2"/>
      </w:pPr>
      <w:r>
        <w:t>Young people need safety, not suspicion</w:t>
      </w:r>
      <w:r/>
    </w:p>
    <w:p>
      <w:r/>
      <w:r>
        <w:t>The CDC says LGBTQ+ young people experience higher levels of several health risks, including mental health challenges and suicidal thoughts. Those figures don't point to identity as a problem. They reflect the impact of stigma, bullying, isolation and environments where young people don't feel safe asking for help.</w:t>
      </w:r>
      <w:r/>
    </w:p>
    <w:p>
      <w:r/>
      <w:r>
        <w:t>A calm, respectful clinical encounter can therefore carry real weight. Using a patient's name and pronouns, protecting confidentiality and listening without assumptions are small actions, but they can change whether a teenager returns for support. In a tense political climate, that basic sense of safety becomes even more important.</w:t>
      </w:r>
      <w:r/>
    </w:p>
    <w:p>
      <w:pPr>
        <w:pStyle w:val="Heading2"/>
      </w:pPr>
      <w:r>
        <w:t>Better training can change everyday care</w:t>
      </w:r>
      <w:r/>
    </w:p>
    <w:p>
      <w:r/>
      <w:r>
        <w:t>Inclusive practice starts with the details. Nurses and other clinicians need practical education on gender identity, respectful communication, relevant screening and the ways trauma can affect a patient's experience of healthcare. Staff shouldn't have to improvise when a patient asks for care that falls outside a narrow textbook example.</w:t>
      </w:r>
      <w:r/>
    </w:p>
    <w:p>
      <w:r/>
      <w:r>
        <w:t>Organisations can reinforce that training with gender-neutral facilities, clear anti-discrimination policies and forms that don't force patients into inaccurate boxes. Research available through the National Library of Medicine has highlighted the importance of organisational culture and competent care, rather than relying on individual goodwill alone. A welcoming poster is pleasant, but a consistent system is what patients remember.</w:t>
      </w:r>
      <w:r/>
    </w:p>
    <w:p>
      <w:pPr>
        <w:pStyle w:val="Heading2"/>
      </w:pPr>
      <w:r>
        <w:t>Advocacy belongs in the clinic and beyond</w:t>
      </w:r>
      <w:r/>
    </w:p>
    <w:p>
      <w:r/>
      <w:r>
        <w:t>Nurses are often the people who notice where a policy meets a patient's real life. They can identify gaps in intake forms, challenge dismissive language, report discriminatory treatment and help colleagues understand why inclusive care affects safety. They can also support better data collection, provided patients know why information is being requested and how it will be protected.</w:t>
      </w:r>
      <w:r/>
    </w:p>
    <w:p>
      <w:r/>
      <w:r>
        <w:t>This work isn't about turning every appointment into a political argument. It's about making sure professional ethics survive political noise. As the American Heart Association's reporting makes clear, discrimination is associated with measurable health consequences, so speaking up is part of prevention as well as principle.</w:t>
      </w:r>
      <w:r/>
    </w:p>
    <w:p>
      <w:r/>
      <w:r>
        <w:t>The outlook will depend on whether healthcare organisations treat inclusion as a permanent standard rather than a temporary campaign. Patients shouldn't have to gamble on whether a clinic will respect them, and clinicians shouldn't be left without the training or policies to do the right thing.</w:t>
      </w:r>
      <w:r/>
    </w:p>
    <w:p>
      <w:r/>
      <w:r>
        <w:t>Inclusive transgender healthcare is safer healthcare for everyone.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[5]</w:t>
        </w:r>
      </w:hyperlink>
      <w:r>
        <w:t xml:space="preserve">- Paragraph 2: </w:t>
      </w:r>
      <w:hyperlink r:id="rId12">
        <w:r>
          <w:rPr>
            <w:color w:val="0000EE"/>
            <w:u w:val="single"/>
          </w:rPr>
          <w:t>[2]</w:t>
        </w:r>
      </w:hyperlink>
      <w:r>
        <w:t xml:space="preserve">, </w:t>
      </w:r>
      <w:hyperlink r:id="rId10">
        <w:r>
          <w:rPr>
            <w:color w:val="0000EE"/>
            <w:u w:val="single"/>
          </w:rPr>
          <w:t>[4]</w:t>
        </w:r>
      </w:hyperlink>
      <w:r>
        <w:t xml:space="preserve">- Paragraph 3: </w:t>
      </w:r>
      <w:hyperlink r:id="rId11">
        <w:r>
          <w:rPr>
            <w:color w:val="0000EE"/>
            <w:u w:val="single"/>
          </w:rPr>
          <w:t>[5]</w:t>
        </w:r>
      </w:hyperlink>
      <w:r>
        <w:t xml:space="preserve">, </w:t>
      </w:r>
      <w:hyperlink r:id="rId13">
        <w:r>
          <w:rPr>
            <w:color w:val="0000EE"/>
            <w:u w:val="single"/>
          </w:rPr>
          <w:t>[7]</w:t>
        </w:r>
      </w:hyperlink>
      <w:r>
        <w:t xml:space="preserve">- Paragraph 4: </w:t>
      </w:r>
      <w:hyperlink r:id="rId12">
        <w:r>
          <w:rPr>
            <w:color w:val="0000EE"/>
            <w:u w:val="single"/>
          </w:rPr>
          <w:t>[2]</w:t>
        </w:r>
      </w:hyperlink>
      <w:r>
        <w:t xml:space="preserve">, </w:t>
      </w:r>
      <w:hyperlink r:id="rId13">
        <w:r>
          <w:rPr>
            <w:color w:val="0000EE"/>
            <w:u w:val="single"/>
          </w:rPr>
          <w:t>[7]</w:t>
        </w:r>
      </w:hyperlink>
      <w:r>
        <w:t xml:space="preserve">- Paragraph 5: </w:t>
      </w:r>
      <w:hyperlink r:id="rId14">
        <w:r>
          <w:rPr>
            <w:color w:val="0000EE"/>
            <w:u w:val="single"/>
          </w:rPr>
          <w:t>[3]</w:t>
        </w:r>
      </w:hyperlink>
      <w:r>
        <w:t xml:space="preserve">- Paragraph 6: </w:t>
      </w:r>
      <w:hyperlink r:id="rId14">
        <w:r>
          <w:rPr>
            <w:color w:val="0000EE"/>
            <w:u w:val="single"/>
          </w:rPr>
          <w:t>[3]</w:t>
        </w:r>
      </w:hyperlink>
      <w:r>
        <w:t xml:space="preserve">, </w:t>
      </w:r>
      <w:hyperlink r:id="rId15">
        <w:r>
          <w:rPr>
            <w:color w:val="0000EE"/>
            <w:u w:val="single"/>
          </w:rPr>
          <w:t>[6]</w:t>
        </w:r>
      </w:hyperlink>
      <w:r>
        <w:t xml:space="preserve">- Paragraph 7: </w:t>
      </w:r>
      <w:hyperlink r:id="rId15">
        <w:r>
          <w:rPr>
            <w:color w:val="0000EE"/>
            <w:u w:val="single"/>
          </w:rPr>
          <w:t>[6]</w:t>
        </w:r>
      </w:hyperlink>
      <w:r>
        <w:t xml:space="preserve">- Paragraph 8: </w:t>
      </w:r>
      <w:hyperlink r:id="rId12">
        <w:r>
          <w:rPr>
            <w:color w:val="0000EE"/>
            <w:u w:val="single"/>
          </w:rPr>
          <w:t>[2]</w:t>
        </w:r>
      </w:hyperlink>
      <w:r>
        <w:t xml:space="preserve">, </w:t>
      </w:r>
      <w:hyperlink r:id="rId13">
        <w:r>
          <w:rPr>
            <w:color w:val="0000EE"/>
            <w:u w:val="single"/>
          </w:rPr>
          <w:t>[7]</w:t>
        </w:r>
      </w:hyperlink>
      <w:r>
        <w:t xml:space="preserve">- Paragraph 9: </w:t>
      </w:r>
      <w:hyperlink r:id="rId15">
        <w:r>
          <w:rPr>
            <w:color w:val="0000EE"/>
            <w:u w:val="single"/>
          </w:rPr>
          <w:t>[6]</w:t>
        </w:r>
      </w:hyperlink>
      <w:r>
        <w:t xml:space="preserve">- Paragraph 10: </w:t>
      </w:r>
      <w:hyperlink r:id="rId12">
        <w:r>
          <w:rPr>
            <w:color w:val="0000EE"/>
            <w:u w:val="single"/>
          </w:rPr>
          <w:t>[2]</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https://www.myamericannurse.com/advocacy-on-the-balance-reaffirming-transgender-care-in-turbulent-times/</w:t>
        </w:r>
      </w:hyperlink>
      <w:r>
        <w:t xml:space="preserve"> - Please view link - unable to able to access data</w:t>
      </w:r>
      <w:r/>
    </w:p>
    <w:p>
      <w:pPr>
        <w:pStyle w:val="ListNumber"/>
        <w:spacing w:line="240" w:lineRule="auto"/>
        <w:ind w:left="720"/>
      </w:pPr>
      <w:r/>
      <w:hyperlink r:id="rId12">
        <w:r>
          <w:rPr>
            <w:color w:val="0000EE"/>
            <w:u w:val="single"/>
          </w:rPr>
          <w:t>https://newsroom.heart.org/news/health-disparities-and-equitable-access-to-health-care-persist-with-transgender-adults</w:t>
        </w:r>
      </w:hyperlink>
      <w:r>
        <w:t xml:space="preserve"> - This article from the American Heart Association highlights the persistent health disparities faced by transgender adults, including higher rates of heart disease linked to discrimination and transphobia. It underscores the need for policy action to address these inequities and improve access to care for transgender individuals.</w:t>
      </w:r>
      <w:r/>
    </w:p>
    <w:p>
      <w:pPr>
        <w:pStyle w:val="ListNumber"/>
        <w:spacing w:line="240" w:lineRule="auto"/>
        <w:ind w:left="720"/>
      </w:pPr>
      <w:r/>
      <w:hyperlink r:id="rId14">
        <w:r>
          <w:rPr>
            <w:color w:val="0000EE"/>
            <w:u w:val="single"/>
          </w:rPr>
          <w:t>https://www.cdc.gov/healthy-youth/lgbtq-youth/health-disparities-among-lgbtq-youth.html</w:t>
        </w:r>
      </w:hyperlink>
      <w:r>
        <w:t xml:space="preserve"> - The Centers for Disease Control and Prevention discusses the health disparities among LGBTQ+ youth, emphasizing increased risks for poor mental health, suicidal thoughts, and experiences of violence. The article calls for efforts to address these disparities and promote better health outcomes for LGBTQ+ youth.</w:t>
      </w:r>
      <w:r/>
    </w:p>
    <w:p>
      <w:pPr>
        <w:pStyle w:val="ListNumber"/>
        <w:spacing w:line="240" w:lineRule="auto"/>
        <w:ind w:left="720"/>
      </w:pPr>
      <w:r/>
      <w:hyperlink r:id="rId10">
        <w:r>
          <w:rPr>
            <w:color w:val="0000EE"/>
            <w:u w:val="single"/>
          </w:rPr>
          <w:t>https://www.consumerreports.org/health/healthcare/transgender-people-face-huge-barriers-to-healthcare-a9738689971/</w:t>
        </w:r>
      </w:hyperlink>
      <w:r>
        <w:t xml:space="preserve"> - Consumer Reports examines the significant barriers transgender individuals face in accessing healthcare, including high costs, harassment, and a lack of trained providers. The article suggests potential solutions to improve healthcare access for transgender people.</w:t>
      </w:r>
      <w:r/>
    </w:p>
    <w:p>
      <w:pPr>
        <w:pStyle w:val="ListNumber"/>
        <w:spacing w:line="240" w:lineRule="auto"/>
        <w:ind w:left="720"/>
      </w:pPr>
      <w:r/>
      <w:hyperlink r:id="rId11">
        <w:r>
          <w:rPr>
            <w:color w:val="0000EE"/>
            <w:u w:val="single"/>
          </w:rPr>
          <w:t>https://pubmed.ncbi.nlm.nih.gov/30321122/</w:t>
        </w:r>
      </w:hyperlink>
      <w:r>
        <w:t xml:space="preserve"> - A systematic review published in the journal 'Social Work Health Care' reveals that transgender individuals experience profound rates of discrimination within the U.S. healthcare system, leading to compromised access to care compared to sexual minorities and the general population.</w:t>
      </w:r>
      <w:r/>
    </w:p>
    <w:p>
      <w:pPr>
        <w:pStyle w:val="ListNumber"/>
        <w:spacing w:line="240" w:lineRule="auto"/>
        <w:ind w:left="720"/>
      </w:pPr>
      <w:r/>
      <w:hyperlink r:id="rId15">
        <w:r>
          <w:rPr>
            <w:color w:val="0000EE"/>
            <w:u w:val="single"/>
          </w:rPr>
          <w:t>https://pmc.ncbi.nlm.nih.gov/articles/PMC7906231/</w:t>
        </w:r>
      </w:hyperlink>
      <w:r>
        <w:t xml:space="preserve"> - This study from the U.S. Transgender Survey analyses healthcare access and utilization among transgender populations, highlighting that transgender men and women are more likely to postpone healthcare due to fear of discrimination compared to nonbinary individuals.</w:t>
      </w:r>
      <w:r/>
    </w:p>
    <w:p>
      <w:pPr>
        <w:pStyle w:val="ListNumber"/>
        <w:spacing w:line="240" w:lineRule="auto"/>
        <w:ind w:left="720"/>
      </w:pPr>
      <w:r/>
      <w:hyperlink r:id="rId13">
        <w:r>
          <w:rPr>
            <w:color w:val="0000EE"/>
            <w:u w:val="single"/>
          </w:rPr>
          <w:t>https://newsroom.heart.org/news/discrimination-stress-linked-to-poorer-heart-health-in-transgender-gender-diverse-adults</w:t>
        </w:r>
      </w:hyperlink>
      <w:r>
        <w:t xml:space="preserve"> - The American Heart Association reports that discrimination and stress are linked to poorer heart health in transgender and gender-diverse adults, noting higher rates of tobacco use and other health risks within this population.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yamericannurse.com/advocacy-on-the-balance-reaffirming-transgender-care-in-turbulent-times/" TargetMode="External"/><Relationship Id="rId10" Type="http://schemas.openxmlformats.org/officeDocument/2006/relationships/hyperlink" Target="https://www.consumerreports.org/health/healthcare/transgender-people-face-huge-barriers-to-healthcare-a9738689971/" TargetMode="External"/><Relationship Id="rId11" Type="http://schemas.openxmlformats.org/officeDocument/2006/relationships/hyperlink" Target="https://pubmed.ncbi.nlm.nih.gov/30321122/" TargetMode="External"/><Relationship Id="rId12" Type="http://schemas.openxmlformats.org/officeDocument/2006/relationships/hyperlink" Target="https://newsroom.heart.org/news/health-disparities-and-equitable-access-to-health-care-persist-with-transgender-adults" TargetMode="External"/><Relationship Id="rId13" Type="http://schemas.openxmlformats.org/officeDocument/2006/relationships/hyperlink" Target="https://newsroom.heart.org/news/discrimination-stress-linked-to-poorer-heart-health-in-transgender-gender-diverse-adults" TargetMode="External"/><Relationship Id="rId14" Type="http://schemas.openxmlformats.org/officeDocument/2006/relationships/hyperlink" Target="https://www.cdc.gov/healthy-youth/lgbtq-youth/health-disparities-among-lgbtq-youth.html" TargetMode="External"/><Relationship Id="rId15" Type="http://schemas.openxmlformats.org/officeDocument/2006/relationships/hyperlink" Target="https://pmc.ncbi.nlm.nih.gov/articles/PMC790623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