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Better Diabetes Care for Transgender People Starts With Trust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Healthcare teams are being urged to make diabetes care more welcoming for transgender people, whose treatment can involve barriers, body-image concerns and hormone-related changes. The message is practical as well as compassionate: gender-affirming hormone therapy and diabetes care can work together, provided monitoring, communication and personal comfort remain central.</w:t>
      </w:r>
      <w:r/>
    </w:p>
    <w:p>
      <w:pPr>
        <w:pStyle w:val="Heading2"/>
      </w:pPr>
      <w:r>
        <w:t>Essential Takeaways</w:t>
      </w:r>
      <w:r/>
      <w:r/>
    </w:p>
    <w:p>
      <w:pPr>
        <w:pStyle w:val="ListBullet"/>
        <w:spacing w:line="240" w:lineRule="auto"/>
        <w:ind w:left="720"/>
      </w:pPr>
      <w:r/>
      <w:r>
        <w:rPr>
          <w:b/>
        </w:rPr>
        <w:t>Inclusive care matters:</w:t>
      </w:r>
      <w:r>
        <w:t xml:space="preserve"> Using a patient’s name and pronouns can help make appointments feel safer.</w:t>
      </w:r>
      <w:r/>
    </w:p>
    <w:p>
      <w:pPr>
        <w:pStyle w:val="ListBullet"/>
        <w:spacing w:line="240" w:lineRule="auto"/>
        <w:ind w:left="720"/>
      </w:pPr>
      <w:r/>
      <w:r>
        <w:rPr>
          <w:b/>
        </w:rPr>
        <w:t>Hormone therapy needs monitoring:</w:t>
      </w:r>
      <w:r>
        <w:t xml:space="preserve"> Glucose, cholesterol and cardiovascular risk may require closer review, particularly early on.</w:t>
      </w:r>
      <w:r/>
    </w:p>
    <w:p>
      <w:pPr>
        <w:pStyle w:val="ListBullet"/>
        <w:spacing w:line="240" w:lineRule="auto"/>
        <w:ind w:left="720"/>
      </w:pPr>
      <w:r/>
      <w:r>
        <w:rPr>
          <w:b/>
        </w:rPr>
        <w:t>Individual responses vary:</w:t>
      </w:r>
      <w:r>
        <w:t xml:space="preserve"> Some people may need insulin adjustments, but changes should be guided by their clinical team.</w:t>
      </w:r>
      <w:r/>
    </w:p>
    <w:p>
      <w:pPr>
        <w:pStyle w:val="ListBullet"/>
        <w:spacing w:line="240" w:lineRule="auto"/>
        <w:ind w:left="720"/>
      </w:pPr>
      <w:r/>
      <w:r>
        <w:rPr>
          <w:b/>
        </w:rPr>
        <w:t>Devices should feel comfortable:</w:t>
      </w:r>
      <w:r>
        <w:t xml:space="preserve"> Patients should help choose where glucose monitors or pumps are placed.</w:t>
      </w:r>
      <w:r/>
    </w:p>
    <w:p>
      <w:pPr>
        <w:pStyle w:val="ListBullet"/>
        <w:spacing w:line="240" w:lineRule="auto"/>
        <w:ind w:left="720"/>
      </w:pPr>
      <w:r/>
      <w:r>
        <w:rPr>
          <w:b/>
        </w:rPr>
        <w:t>Weight conversations need care:</w:t>
      </w:r>
      <w:r>
        <w:t xml:space="preserve"> Focus on overall metabolic health rather than assumptions about appearance or body size.</w:t>
      </w:r>
      <w:r/>
      <w:r/>
    </w:p>
    <w:p>
      <w:pPr>
        <w:pStyle w:val="Heading2"/>
      </w:pPr>
      <w:r>
        <w:t>Trust is part of the treatment</w:t>
      </w:r>
      <w:r/>
    </w:p>
    <w:p>
      <w:r/>
      <w:r>
        <w:t>For many people, a diabetes appointment is already packed with decisions, numbers and equipment. Add concerns about discrimination or being misunderstood, and the consultation can become exhausting before it begins. Research on LGBTQ+ health has repeatedly highlighted how stigma and previous negative experiences can discourage people from seeking care.</w:t>
      </w:r>
      <w:r/>
    </w:p>
    <w:p>
      <w:r/>
      <w:r>
        <w:t>That makes a welcoming practice more than a matter of good manners. According to the Centers for Disease Control and Prevention, LGBTQ+ people can face distinct social and healthcare factors linked to diabetes risk and management. A calm greeting, accurate records and respectful language are small changes, but they can make the room feel noticeably less intimidating.</w:t>
      </w:r>
      <w:r/>
    </w:p>
    <w:p>
      <w:pPr>
        <w:pStyle w:val="Heading2"/>
      </w:pPr>
      <w:r>
        <w:t>Hormone therapy and diabetes can coexist</w:t>
      </w:r>
      <w:r/>
    </w:p>
    <w:p>
      <w:r/>
      <w:r>
        <w:t>Gender-affirming hormone therapy may influence body composition, lipids, insulin sensitivity and cardiovascular risk. The exact effects differ between individuals and can vary according to the type of therapy, existing health conditions and other medicines.</w:t>
      </w:r>
      <w:r/>
    </w:p>
    <w:p>
      <w:r/>
      <w:r>
        <w:t>The practical message from diabetes specialists is reassuring: people shouldn't have to choose between gender-affirming care and appropriate diabetes treatment. Instead, the two should be coordinated. Reviews of the available evidence also point to the need for personalised follow-up, because research remains limited and doesn't always offer neat, universal answers.</w:t>
      </w:r>
      <w:r/>
    </w:p>
    <w:p>
      <w:r/>
      <w:r>
        <w:t>Changes can be particularly important during the early months of hormone therapy. A care team may therefore review glucose patterns, insulin requirements, cholesterol and cardiovascular risk more closely, rather than waiting for problems to appear.</w:t>
      </w:r>
      <w:r/>
    </w:p>
    <w:p>
      <w:pPr>
        <w:pStyle w:val="Heading2"/>
      </w:pPr>
      <w:r>
        <w:t>Why the first year deserves extra attention</w:t>
      </w:r>
      <w:r/>
    </w:p>
    <w:p>
      <w:r/>
      <w:r>
        <w:t>Hormone-related physiological changes may become noticeable within the first six months and are often most relevant during the first year. That doesn't mean every patient will experience the same shift, or that an insulin dose should be changed without professional advice.</w:t>
      </w:r>
      <w:r/>
    </w:p>
    <w:p>
      <w:r/>
      <w:r>
        <w:t>For some transgender men, insulin needs may fall, while some transgender women may require more insulin. These are broad clinical considerations, not self-management instructions. Continuous glucose readings, home monitoring and regular conversations with a diabetes team are safer guides than guesswork.</w:t>
      </w:r>
      <w:r/>
    </w:p>
    <w:p>
      <w:r/>
      <w:r>
        <w:t>The wider evidence base remains uneven. Studies have explored diabetes prevalence, cardiometabolic health and access to care in transgender populations, but researchers still lack the depth of long-term data available for the general population. That uncertainty is a reason for thoughtful monitoring, not alarm.</w:t>
      </w:r>
      <w:r/>
    </w:p>
    <w:p>
      <w:pPr>
        <w:pStyle w:val="Heading2"/>
      </w:pPr>
      <w:r>
        <w:t>Make technology fit the person</w:t>
      </w:r>
      <w:r/>
    </w:p>
    <w:p>
      <w:r/>
      <w:r>
        <w:t>A glucose sensor or insulin pump may be medically useful, but where it sits on the body can affect confidence, comfort and willingness to use it every day. For someone managing body dysphoria or a changing relationship with their appearance, placement isn't a trivial detail.</w:t>
      </w:r>
      <w:r/>
    </w:p>
    <w:p>
      <w:r/>
      <w:r>
        <w:t>Clinicians can ask permission before examinations and offer choices about device locations. Research into diabetes technology and transgender care suggests that body image, privacy and comfort deserve a place in practical treatment planning. A device that feels awkward or distressing is less likely to be worn consistently, however clever its software may be.</w:t>
      </w:r>
      <w:r/>
    </w:p>
    <w:p>
      <w:r/>
      <w:r>
        <w:t>The same principle applies to weight discussions. A respectful consultation should focus on glucose control, blood pressure, lipids and overall wellbeing, rather than treating weight as a shortcut for health. Flexible nutrition advice is usually more useful than rigid plans that ignore a person's circumstances.</w:t>
      </w:r>
      <w:r/>
    </w:p>
    <w:p>
      <w:pPr>
        <w:pStyle w:val="Heading2"/>
      </w:pPr>
      <w:r>
        <w:t>Better coordination could close the gaps</w:t>
      </w:r>
      <w:r/>
    </w:p>
    <w:p>
      <w:r/>
      <w:r>
        <w:t>Diabetes teams and gender-affirming care providers don't need to work in separate lanes. Sharing relevant information, with the patient's consent, can help clinicians understand how hormone therapy may affect cardiometabolic health and whether treatment plans need revisiting.</w:t>
      </w:r>
      <w:r/>
    </w:p>
    <w:p>
      <w:r/>
      <w:r>
        <w:t>Healthcare professionals should also consider the combined strain of diabetes distress and minority stress. Managing injections, food choices and monitoring can be difficult enough without anticipating judgement at every appointment. Evidence on LGBTQ+ health supports a broader view of care, one that recognises social pressures alongside clinical measures.</w:t>
      </w:r>
      <w:r/>
    </w:p>
    <w:p>
      <w:r/>
      <w:r>
        <w:t>There is no expensive gadget required to begin. Ask what name the patient uses, confirm pronouns without making a performance of it, explain before touching, and invite concerns about examinations or device placement. In healthcare, those quiet details often determine whether someone feels seen or simply processed.</w:t>
      </w:r>
      <w:r/>
    </w:p>
    <w:p>
      <w:r/>
      <w:r>
        <w:t>Choose diabetes care that respects the whole person, not just the numbers on the screen.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1">
        <w:r>
          <w:rPr>
            <w:color w:val="0000EE"/>
            <w:u w:val="single"/>
          </w:rPr>
          <w:t>[6]</w:t>
        </w:r>
      </w:hyperlink>
      <w:r>
        <w:t xml:space="preserve">- Paragraph 4: </w:t>
      </w:r>
      <w:hyperlink r:id="rId12">
        <w:r>
          <w:rPr>
            <w:color w:val="0000EE"/>
            <w:u w:val="single"/>
          </w:rPr>
          <w:t>[4]</w:t>
        </w:r>
      </w:hyperlink>
      <w:r>
        <w:t xml:space="preserve">, </w:t>
      </w:r>
      <w:hyperlink r:id="rId12">
        <w:r>
          <w:rPr>
            <w:color w:val="0000EE"/>
            <w:u w:val="single"/>
          </w:rPr>
          <w:t>[7]</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1">
        <w:r>
          <w:rPr>
            <w:color w:val="0000EE"/>
            <w:u w:val="single"/>
          </w:rPr>
          <w:t>[3]</w:t>
        </w:r>
      </w:hyperlink>
      <w:r>
        <w:t xml:space="preserve">, </w:t>
      </w:r>
      <w:hyperlink r:id="rId11">
        <w:r>
          <w:rPr>
            <w:color w:val="0000EE"/>
            <w:u w:val="single"/>
          </w:rPr>
          <w:t>[6]</w:t>
        </w:r>
      </w:hyperlink>
      <w:r>
        <w:t xml:space="preserve">- Paragraph 7: </w:t>
      </w:r>
      <w:hyperlink r:id="rId12">
        <w:r>
          <w:rPr>
            <w:color w:val="0000EE"/>
            <w:u w:val="single"/>
          </w:rPr>
          <w:t>[4]</w:t>
        </w:r>
      </w:hyperlink>
      <w:r>
        <w:t xml:space="preserve">, </w:t>
      </w:r>
      <w:hyperlink r:id="rId12">
        <w:r>
          <w:rPr>
            <w:color w:val="0000EE"/>
            <w:u w:val="single"/>
          </w:rPr>
          <w:t>[7]</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1">
        <w:r>
          <w:rPr>
            <w:color w:val="0000EE"/>
            <w:u w:val="single"/>
          </w:rPr>
          <w:t>[6]</w:t>
        </w:r>
      </w:hyperlink>
      <w:r>
        <w:t xml:space="preserve">- Paragraph 11: </w:t>
      </w:r>
      <w:hyperlink r:id="rId11">
        <w:r>
          <w:rPr>
            <w:color w:val="0000EE"/>
            <w:u w:val="single"/>
          </w:rPr>
          <w:t>[3]</w:t>
        </w:r>
      </w:hyperlink>
      <w:r>
        <w:t xml:space="preserve">, </w:t>
      </w:r>
      <w:hyperlink r:id="rId12">
        <w:r>
          <w:rPr>
            <w:color w:val="0000EE"/>
            <w:u w:val="single"/>
          </w:rPr>
          <w:t>[7]</w:t>
        </w:r>
      </w:hyperlink>
      <w:r>
        <w:t xml:space="preserve">- Paragraph 12: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https://www.healio.com/news/endocrinology/20260917/we-want-to-create-a-welcoming-environment-for-transgender-people-with-diabetes</w:t>
        </w:r>
      </w:hyperlink>
      <w:r>
        <w:t xml:space="preserve"> - Please view link - unable to able to access data</w:t>
      </w:r>
      <w:r/>
    </w:p>
    <w:p>
      <w:pPr>
        <w:pStyle w:val="ListNumber"/>
        <w:spacing w:line="240" w:lineRule="auto"/>
        <w:ind w:left="720"/>
      </w:pPr>
      <w:r/>
      <w:hyperlink r:id="rId10">
        <w:r>
          <w:rPr>
            <w:color w:val="0000EE"/>
            <w:u w:val="single"/>
          </w:rPr>
          <w:t>https://www.cdc.gov/diabetes/risk-factors/diabetes-risk-lgbtq.html</w:t>
        </w:r>
      </w:hyperlink>
      <w:r>
        <w:t xml:space="preserve"> - The Centers for Disease Control and Prevention (CDC) highlights that LGBTQ individuals, including transgender people, have a higher risk of developing type 2 diabetes compared to the general population. Factors such as higher rates of overweight and obesity, smoking, and gender-affirming hormone therapy contribute to this increased risk. The CDC emphasizes the importance of creating a supportive environment for LGBTQ individuals to manage their health effectively.</w:t>
      </w:r>
      <w:r/>
    </w:p>
    <w:p>
      <w:pPr>
        <w:pStyle w:val="ListNumber"/>
        <w:spacing w:line="240" w:lineRule="auto"/>
        <w:ind w:left="720"/>
      </w:pPr>
      <w:r/>
      <w:hyperlink r:id="rId11">
        <w:r>
          <w:rPr>
            <w:color w:val="0000EE"/>
            <w:u w:val="single"/>
          </w:rPr>
          <w:t>https://www.ncbi.nlm.nih.gov/pmc/articles/PMC8603323/</w:t>
        </w:r>
      </w:hyperlink>
      <w:r>
        <w:t xml:space="preserve"> - This article discusses the unique challenges faced by transgender individuals with diabetes, including the impact of gender-affirming hormone therapy (GAHT) on metabolic health. It emphasizes the need for healthcare professionals to create a supportive and inclusive environment, address concerns related to body image, and collaborate with patients on diabetes management strategies to improve health outcomes.</w:t>
      </w:r>
      <w:r/>
    </w:p>
    <w:p>
      <w:pPr>
        <w:pStyle w:val="ListNumber"/>
        <w:spacing w:line="240" w:lineRule="auto"/>
        <w:ind w:left="720"/>
      </w:pPr>
      <w:r/>
      <w:hyperlink r:id="rId12">
        <w:r>
          <w:rPr>
            <w:color w:val="0000EE"/>
            <w:u w:val="single"/>
          </w:rPr>
          <w:t>https://www.ncbi.nlm.nih.gov/pmc/articles/PMC9113784/</w:t>
        </w:r>
      </w:hyperlink>
      <w:r>
        <w:t xml:space="preserve"> - This study examines the effects of gender-affirming hormone therapy on the risk of diabetes in transgender individuals. It highlights that while GAHT is associated with changes in insulin sensitivity and body composition, the long-term impact on diabetes risk remains uncertain. The study underscores the importance of regular monitoring and individualized care for transgender patients undergoing GAHT.</w:t>
      </w:r>
      <w:r/>
    </w:p>
    <w:p>
      <w:pPr>
        <w:pStyle w:val="ListNumber"/>
        <w:spacing w:line="240" w:lineRule="auto"/>
        <w:ind w:left="720"/>
      </w:pPr>
      <w:r/>
      <w:hyperlink r:id="rId13">
        <w:r>
          <w:rPr>
            <w:color w:val="0000EE"/>
            <w:u w:val="single"/>
          </w:rPr>
          <w:t>https://www.ncbi.nlm.nih.gov/pmc/articles/PMC4802845/</w:t>
        </w:r>
      </w:hyperlink>
      <w:r>
        <w:t xml:space="preserve"> - This article reviews the barriers to healthcare faced by transgender individuals, including discrimination, lack of knowledgeable providers, and financial constraints. It emphasizes the need for healthcare systems to be more inclusive and responsive to the unique needs of transgender patients to improve their health outcomes.</w:t>
      </w:r>
      <w:r/>
    </w:p>
    <w:p>
      <w:pPr>
        <w:pStyle w:val="ListNumber"/>
        <w:spacing w:line="240" w:lineRule="auto"/>
        <w:ind w:left="720"/>
      </w:pPr>
      <w:r/>
      <w:hyperlink r:id="rId11">
        <w:r>
          <w:rPr>
            <w:color w:val="0000EE"/>
            <w:u w:val="single"/>
          </w:rPr>
          <w:t>https://www.ncbi.nlm.nih.gov/pmc/articles/PMC8603323/</w:t>
        </w:r>
      </w:hyperlink>
      <w:r>
        <w:t xml:space="preserve"> - This article offers clinicians resources and an overview for supporting gender-diverse individuals with diabetes. Creating a supportive office environment is crucial to providing optimal diabetes care for patients who identify as transgender.</w:t>
      </w:r>
      <w:r/>
    </w:p>
    <w:p>
      <w:pPr>
        <w:pStyle w:val="ListNumber"/>
        <w:spacing w:line="240" w:lineRule="auto"/>
        <w:ind w:left="720"/>
      </w:pPr>
      <w:r/>
      <w:hyperlink r:id="rId12">
        <w:r>
          <w:rPr>
            <w:color w:val="0000EE"/>
            <w:u w:val="single"/>
          </w:rPr>
          <w:t>https://www.ncbi.nlm.nih.gov/pmc/articles/PMC9113784/</w:t>
        </w:r>
      </w:hyperlink>
      <w:r>
        <w:t xml:space="preserve"> - This study examines the effects of gender-affirming hormone therapy on the risk of diabetes in transgender individuals. It highlights that while GAHT is associated with changes in insulin sensitivity and body composition, the long-term impact on diabetes risk remains uncertain. The study underscores the importance of regular monitoring and individualized care for transgender patients undergoing GAHT.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alio.com/news/endocrinology/20260917/we-want-to-create-a-welcoming-environment-for-transgender-people-with-diabetes" TargetMode="External"/><Relationship Id="rId10" Type="http://schemas.openxmlformats.org/officeDocument/2006/relationships/hyperlink" Target="https://www.cdc.gov/diabetes/risk-factors/diabetes-risk-lgbtq.html" TargetMode="External"/><Relationship Id="rId11" Type="http://schemas.openxmlformats.org/officeDocument/2006/relationships/hyperlink" Target="https://www.ncbi.nlm.nih.gov/pmc/articles/PMC8603323/" TargetMode="External"/><Relationship Id="rId12" Type="http://schemas.openxmlformats.org/officeDocument/2006/relationships/hyperlink" Target="https://www.ncbi.nlm.nih.gov/pmc/articles/PMC9113784/" TargetMode="External"/><Relationship Id="rId13" Type="http://schemas.openxmlformats.org/officeDocument/2006/relationships/hyperlink" Target="https://www.ncbi.nlm.nih.gov/pmc/articles/PMC480284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