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Ease Minority Stress and Feel Safer in Daily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and trans people may carry quiet, everyday vigilance long after a difficult moment has passed. Understanding minority stress, recognising protective responses and practising gentle grounding can make that alertness feel less like a personal failing and more like a signal worth meeting with care.</w:t>
      </w:r>
      <w:r/>
    </w:p>
    <w:p>
      <w:pPr>
        <w:pStyle w:val="Heading2"/>
      </w:pPr>
      <w:r>
        <w:t>Essential Takeaways</w:t>
      </w:r>
      <w:r/>
      <w:r/>
    </w:p>
    <w:p>
      <w:pPr>
        <w:pStyle w:val="ListBullet"/>
        <w:spacing w:line="240" w:lineRule="auto"/>
        <w:ind w:left="720"/>
      </w:pPr>
      <w:r/>
      <w:r>
        <w:rPr>
          <w:b/>
        </w:rPr>
        <w:t>Minority stress accumulates:</w:t>
      </w:r>
      <w:r>
        <w:t xml:space="preserve"> Repeated discrimination, misgendering and social uncertainty can affect wellbeing over time.</w:t>
      </w:r>
      <w:r/>
    </w:p>
    <w:p>
      <w:pPr>
        <w:pStyle w:val="ListBullet"/>
        <w:spacing w:line="240" w:lineRule="auto"/>
        <w:ind w:left="720"/>
      </w:pPr>
      <w:r/>
      <w:r>
        <w:rPr>
          <w:b/>
        </w:rPr>
        <w:t>Vigilance can be protective:</w:t>
      </w:r>
      <w:r>
        <w:t xml:space="preserve"> Scanning a room or carefully choosing what to disclose may once have helped you feel safer.</w:t>
      </w:r>
      <w:r/>
    </w:p>
    <w:p>
      <w:pPr>
        <w:pStyle w:val="ListBullet"/>
        <w:spacing w:line="240" w:lineRule="auto"/>
        <w:ind w:left="720"/>
      </w:pPr>
      <w:r/>
      <w:r>
        <w:rPr>
          <w:b/>
        </w:rPr>
        <w:t>Parts work changes the conversation:</w:t>
      </w:r>
      <w:r>
        <w:t xml:space="preserve"> Internal Family Systems treats these responses as protective parts, rather than flaws to eliminate.</w:t>
      </w:r>
      <w:r/>
    </w:p>
    <w:p>
      <w:pPr>
        <w:pStyle w:val="ListBullet"/>
        <w:spacing w:line="240" w:lineRule="auto"/>
        <w:ind w:left="720"/>
      </w:pPr>
      <w:r/>
      <w:r>
        <w:rPr>
          <w:b/>
        </w:rPr>
        <w:t>Small grounding habits help:</w:t>
      </w:r>
      <w:r>
        <w:t xml:space="preserve"> Longer exhales, feeling your feet on the floor and noticing your surroundings can support regulation.</w:t>
      </w:r>
      <w:r/>
    </w:p>
    <w:p>
      <w:pPr>
        <w:pStyle w:val="ListBullet"/>
        <w:spacing w:line="240" w:lineRule="auto"/>
        <w:ind w:left="720"/>
      </w:pPr>
      <w:r/>
      <w:r>
        <w:rPr>
          <w:b/>
        </w:rPr>
        <w:t>Support should feel informed:</w:t>
      </w:r>
      <w:r>
        <w:t xml:space="preserve"> A therapist familiar with LGBTQ+ experiences can reduce the burden of explaining every detail.</w:t>
      </w:r>
      <w:r/>
      <w:r/>
    </w:p>
    <w:p>
      <w:pPr>
        <w:pStyle w:val="Heading2"/>
      </w:pPr>
      <w:r>
        <w:t>When staying alert becomes the background noise</w:t>
      </w:r>
      <w:r/>
    </w:p>
    <w:p>
      <w:r/>
      <w:r>
        <w:t>The strongest clue is often physical. Your jaw tightens before you introduce your partner, your breathing turns shallow after a careless comment, or your eyes quietly assess a room before you sit down. From the outside, you might look calm and capable. Inside, though, part of you is still checking the exits.</w:t>
      </w:r>
      <w:r/>
    </w:p>
    <w:p>
      <w:r/>
      <w:r>
        <w:t>Psychology Today describes minority stress as the additional pressure LGBTQ+ people can face because of stigma, discrimination and the need to navigate potentially unsafe environments. It isn't one dramatic incident alone. More often, it's the drip-drip effect of repeated moments that teach the nervous system not to relax completely.</w:t>
      </w:r>
      <w:r/>
    </w:p>
    <w:p>
      <w:r/>
      <w:r>
        <w:t>That can mean replaying conversations, anticipating rejection or switching how openly you speak depending on who's nearby. None of this proves you're oversensitive. It may simply show that your body has become very good at detecting risk.</w:t>
      </w:r>
      <w:r/>
    </w:p>
    <w:p>
      <w:pPr>
        <w:pStyle w:val="Heading2"/>
      </w:pPr>
      <w:r>
        <w:t>Minority stress isn't a personality defect</w:t>
      </w:r>
      <w:r/>
    </w:p>
    <w:p>
      <w:r/>
      <w:r>
        <w:t>The minority stress framework makes an important distinction: the strain comes from hostile or uncertain social conditions, not from being queer or trans. Research has linked minority stress with poorer mental health outcomes, particularly when discrimination, concealment and limited social support pile up.</w:t>
      </w:r>
      <w:r/>
    </w:p>
    <w:p>
      <w:r/>
      <w:r>
        <w:t>That context matters because self-blame can become another burden. If you've spent years asking why you can't just relax, the more useful question may be, "What has my system been responding to?" The answer could include family tension, workplace caution, public harassment, healthcare experiences or the exhausting task of deciding where honesty feels safe.</w:t>
      </w:r>
      <w:r/>
    </w:p>
    <w:p>
      <w:r/>
      <w:r>
        <w:t>Protective strategies can also look surprisingly ordinary. You might make a quick room scan, avoid certain conversations, keep your voice measured or become very agreeable when you'd rather challenge something. These choices can be sensible in context, even if they become tiring when they follow you everywhere.</w:t>
      </w:r>
      <w:r/>
    </w:p>
    <w:p>
      <w:pPr>
        <w:pStyle w:val="Heading2"/>
      </w:pPr>
      <w:r>
        <w:t>Parts work offers a gentler explanation</w:t>
      </w:r>
      <w:r/>
    </w:p>
    <w:p>
      <w:r/>
      <w:r>
        <w:t>Internal Family Systems, often called IFS, frames the mind as containing different parts with distinct roles. In this approach, a vigilant or withdrawn response isn't treated as an enemy that must be forced away. It's understood as a protector that learned to act when safety felt uncertain.</w:t>
      </w:r>
      <w:r/>
    </w:p>
    <w:p>
      <w:r/>
      <w:r>
        <w:t>Counselling explanations of IFS commonly distinguish protective parts from more vulnerable, hidden experiences. The aim isn't to bulldoze through those defences. Instead, therapy can help someone approach them with curiosity, recognise what they're trying to prevent and create more room for calm, choice and connection.</w:t>
      </w:r>
      <w:r/>
    </w:p>
    <w:p>
      <w:r/>
      <w:r>
        <w:t>That shift can feel surprisingly relieving. Rather than saying, "Why am I like this?", you can try, "What is this part worried might happen?" It's a small change in language, but it replaces an internal argument with a conversation.</w:t>
      </w:r>
      <w:r/>
    </w:p>
    <w:p>
      <w:pPr>
        <w:pStyle w:val="Heading2"/>
      </w:pPr>
      <w:r>
        <w:t>Three gentle ways to signal safety</w:t>
      </w:r>
      <w:r/>
    </w:p>
    <w:p>
      <w:r/>
      <w:r>
        <w:t>Start with the body, especially after a stressful interaction. On the journey home, try making one exhale slightly longer than the inhale. It doesn't need to be a perfect breathing exercise or a performance of calm. It's simply a brief pause that tells your system to notice the present moment.</w:t>
      </w:r>
      <w:r/>
    </w:p>
    <w:p>
      <w:r/>
      <w:r>
        <w:t>Grounding can be even more straightforward. Put both feet on the floor, name a few things you can see and feel the support beneath you. Research on minority stress and resilience points to the importance of supportive environments and coping resources, so this practice works best as a modest aid, not a substitute for safer communities or proper care.</w:t>
      </w:r>
      <w:r/>
    </w:p>
    <w:p>
      <w:r/>
      <w:r>
        <w:t>A hand on your chest, a warm drink or a quiet few minutes after a difficult encounter can also help you acknowledge the effort involved in getting through the day. If these exercises feel uncomfortable, stop or make them smaller. Rest can feel unfamiliar when your system has learned that letting down your guard carries a cost.</w:t>
      </w:r>
      <w:r/>
    </w:p>
    <w:p>
      <w:pPr>
        <w:pStyle w:val="Heading2"/>
      </w:pPr>
      <w:r>
        <w:t>The right support should reduce the explaining</w:t>
      </w:r>
      <w:r/>
    </w:p>
    <w:p>
      <w:r/>
      <w:r>
        <w:t>Therapy can't remove discrimination from the world, but it can help you understand how those experiences live in your body and relationships. A clinician who understands queer and trans life may also make it easier to discuss misgendering, disclosure, family dynamics and safety without translating every reference.</w:t>
      </w:r>
      <w:r/>
    </w:p>
    <w:p>
      <w:r/>
      <w:r>
        <w:t>The evidence around LGBTQ+ mental health consistently highlights the value of affirmation, community connection and protection from discrimination. That means good support isn't about training yourself to tolerate everything. It's about building enough internal and external safety to have more choice over when you protect yourself and when you rest.</w:t>
      </w:r>
      <w:r/>
    </w:p>
    <w:p>
      <w:r/>
      <w:r>
        <w:t>For many people, the most hopeful change is modest rather than dramatic: noticing the bracing sooner, recovering more quickly and treating yourself with less criticism. Your guard may not disappear, and it doesn't have to. It may simply learn that it no longer has to work every minute.</w:t>
      </w:r>
      <w:r/>
    </w:p>
    <w:p>
      <w:r/>
      <w:r>
        <w:t>A small moment of safety can be the beginning of a kinder relationship with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3">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[3]</w:t>
        </w:r>
      </w:hyperlink>
      <w:r>
        <w:t xml:space="preserve">, </w:t>
      </w:r>
      <w:hyperlink r:id="rId12">
        <w:r>
          <w:rPr>
            <w:color w:val="0000EE"/>
            <w:u w:val="single"/>
          </w:rPr>
          <w:t>[6]</w:t>
        </w:r>
      </w:hyperlink>
      <w:r>
        <w:t xml:space="preserve">- Paragraph 9: </w:t>
      </w:r>
      <w:hyperlink r:id="rId12">
        <w:r>
          <w:rPr>
            <w:color w:val="0000EE"/>
            <w:u w:val="single"/>
          </w:rPr>
          <w:t>[5]</w:t>
        </w:r>
      </w:hyperlink>
      <w:r>
        <w:t xml:space="preserve">, </w:t>
      </w:r>
      <w:hyperlink r:id="rId12">
        <w:r>
          <w:rPr>
            <w:color w:val="0000EE"/>
            <w:u w:val="single"/>
          </w:rPr>
          <w:t>[7]</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3">
        <w:r>
          <w:rPr>
            <w:color w:val="0000EE"/>
            <w:u w:val="single"/>
          </w:rPr>
          <w:t>[3]</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2">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[5]</w:t>
        </w:r>
      </w:hyperlink>
      <w:r>
        <w:t xml:space="preserve">- Paragraph 17: </w:t>
      </w:r>
      <w:hyperlink r:id="rId10">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https://www.mychicagotherapist.com/minority-stress-protective-parts/</w:t>
        </w:r>
      </w:hyperlink>
      <w:r>
        <w:t xml:space="preserve"> - Please view link - unable to able to access data</w:t>
      </w:r>
      <w:r/>
    </w:p>
    <w:p>
      <w:pPr>
        <w:pStyle w:val="ListNumber"/>
        <w:spacing w:line="240" w:lineRule="auto"/>
        <w:ind w:left="720"/>
      </w:pPr>
      <w:r/>
      <w:hyperlink r:id="rId10">
        <w:r>
          <w:rPr>
            <w:color w:val="0000EE"/>
            <w:u w:val="single"/>
          </w:rPr>
          <w:t>https://www.psychologytoday.com/us/blog/building-a-life-worth-living/202403/lgbtq-mental-health-and-the-role-of-minority-stress</w:t>
        </w:r>
      </w:hyperlink>
      <w:r>
        <w:t xml:space="preserve"> - This article discusses the Minority Stress Theory, which posits that LGBTQ+ individuals face unique stressors due to their marginalized identities, leading to mental health disparities. It outlines four main stressors: experienced discrimination, anticipated discrimination, concealment, and internalized stigma. The piece emphasizes that these stressors are societal constructs, not inherent to LGBTQ+ identities, and highlights the importance of understanding these factors to improve mental health outcomes within the community.</w:t>
      </w:r>
      <w:r/>
    </w:p>
    <w:p>
      <w:pPr>
        <w:pStyle w:val="ListNumber"/>
        <w:spacing w:line="240" w:lineRule="auto"/>
        <w:ind w:left="720"/>
      </w:pPr>
      <w:r/>
      <w:hyperlink r:id="rId13">
        <w:r>
          <w:rPr>
            <w:color w:val="0000EE"/>
            <w:u w:val="single"/>
          </w:rPr>
          <w:t>https://www.cushingcounseling.com/ifs-therapy-parts-exiles-self</w:t>
        </w:r>
      </w:hyperlink>
      <w:r>
        <w:t xml:space="preserve"> - This resource provides an overview of Internal Family Systems (IFS) therapy, focusing on the concepts of 'parts', 'exiles', and 'self'. It explains that in IFS, individuals have distinct sub-personalities, each with its own feelings, beliefs, and protective roles. Protective parts are categorized as managers, who prevent pain, and firefighters, who react when pain occurs. Exiles are the vulnerable parts that these protectors shield. The article emphasizes the importance of understanding these dynamics for effective therapy.</w:t>
      </w:r>
      <w:r/>
    </w:p>
    <w:p>
      <w:pPr>
        <w:pStyle w:val="ListNumber"/>
        <w:spacing w:line="240" w:lineRule="auto"/>
        <w:ind w:left="720"/>
      </w:pPr>
      <w:r/>
      <w:hyperlink r:id="rId11">
        <w:r>
          <w:rPr>
            <w:color w:val="0000EE"/>
            <w:u w:val="single"/>
          </w:rPr>
          <w:t>https://www.sciencedirect.com/science/article/pii/S2352250X22002366</w:t>
        </w:r>
      </w:hyperlink>
      <w:r>
        <w:t xml:space="preserve"> - This review article examines the Minority Stress Framework and its application to transgender and nonbinary individuals. It critiques the framework for potentially overshadowing other aspects of gender expression and calls for a multidimensional approach to LGBTQ+ gender research. The authors argue that focusing solely on stressors may overlook the agency and positive functions of gender expression within racially minoritized communities, advocating for a more comprehensive understanding of gender experiences.</w:t>
      </w:r>
      <w:r/>
    </w:p>
    <w:p>
      <w:pPr>
        <w:pStyle w:val="ListNumber"/>
        <w:spacing w:line="240" w:lineRule="auto"/>
        <w:ind w:left="720"/>
      </w:pPr>
      <w:r/>
      <w:hyperlink r:id="rId12">
        <w:r>
          <w:rPr>
            <w:color w:val="0000EE"/>
            <w:u w:val="single"/>
          </w:rPr>
          <w:t>https://www.ncbi.nlm.nih.gov/pmc/articles/PMC6663089/</w:t>
        </w:r>
      </w:hyperlink>
      <w:r>
        <w:t xml:space="preserve"> - This systematic review explores social stress and mental health among transgender and gender non-conforming individuals in the United States. It discusses the Minority Stress Model, which suggests that mental health distress in these populations results from a hostile or stressful social environment. The model identifies three processes: distal stressors (external events like discrimination), interactive proximal stressors (anticipation of discrimination), and internalized proximal stressors (internalization of negative societal attitudes).</w:t>
      </w:r>
      <w:r/>
    </w:p>
    <w:p>
      <w:pPr>
        <w:pStyle w:val="ListNumber"/>
        <w:spacing w:line="240" w:lineRule="auto"/>
        <w:ind w:left="720"/>
      </w:pPr>
      <w:r/>
      <w:hyperlink r:id="rId12">
        <w:r>
          <w:rPr>
            <w:color w:val="0000EE"/>
            <w:u w:val="single"/>
          </w:rPr>
          <w:t>https://www.ncbi.nlm.nih.gov/pmc/articles/PMC6663089/</w:t>
        </w:r>
      </w:hyperlink>
      <w:r>
        <w:t xml:space="preserve"> - This systematic review examines social stress and mental health among transgender and gender non-conforming individuals in the United States. It outlines the Minority Stress Model, which posits that mental health distress in these populations arises from a hostile or stressful social environment. The model describes three processes: distal stressors (external events like discrimination), interactive proximal stressors (anticipation of discrimination), and internalized proximal stressors (internalization of negative societal attitudes).</w:t>
      </w:r>
      <w:r/>
    </w:p>
    <w:p>
      <w:pPr>
        <w:pStyle w:val="ListNumber"/>
        <w:spacing w:line="240" w:lineRule="auto"/>
        <w:ind w:left="720"/>
      </w:pPr>
      <w:r/>
      <w:hyperlink r:id="rId12">
        <w:r>
          <w:rPr>
            <w:color w:val="0000EE"/>
            <w:u w:val="single"/>
          </w:rPr>
          <w:t>https://www.ncbi.nlm.nih.gov/pmc/articles/PMC6663089/</w:t>
        </w:r>
      </w:hyperlink>
      <w:r>
        <w:t xml:space="preserve"> - This systematic review investigates social stress and mental health among transgender and gender non-conforming individuals in the United States. It presents the Minority Stress Model, which asserts that mental health distress in these populations is due to a hostile or stressful social environment. The model outlines three processes: distal stressors (external events like discrimination), interactive proximal stressors (anticipation of discrimination), and internalized proximal stressors (internalization of negative societal attitudes).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ychicagotherapist.com/minority-stress-protective-parts/" TargetMode="External"/><Relationship Id="rId10" Type="http://schemas.openxmlformats.org/officeDocument/2006/relationships/hyperlink" Target="https://www.psychologytoday.com/us/blog/building-a-life-worth-living/202403/lgbtq-mental-health-and-the-role-of-minority-stress" TargetMode="External"/><Relationship Id="rId11" Type="http://schemas.openxmlformats.org/officeDocument/2006/relationships/hyperlink" Target="https://www.sciencedirect.com/science/article/pii/S2352250X22002366" TargetMode="External"/><Relationship Id="rId12" Type="http://schemas.openxmlformats.org/officeDocument/2006/relationships/hyperlink" Target="https://www.ncbi.nlm.nih.gov/pmc/articles/PMC6663089/" TargetMode="External"/><Relationship Id="rId13" Type="http://schemas.openxmlformats.org/officeDocument/2006/relationships/hyperlink" Target="https://www.cushingcounseling.com/ifs-therapy-parts-exiles-sel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