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Transgender Rights Are Human Rights, Not Political Issues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Catholic commentary argues that transgender rights, including access to gender-affirming care, must not be treated as election strategy or culture-war shorthand. The message matters in churches, schools and public life: debates about policy can’t erase the dignity, safety and lived reality of transgender people.</w:t>
      </w:r>
      <w:r/>
    </w:p>
    <w:p>
      <w:pPr>
        <w:pStyle w:val="Heading2"/>
      </w:pPr>
      <w:r>
        <w:t>Essential Takeaways</w:t>
      </w:r>
      <w:r/>
      <w:r/>
    </w:p>
    <w:p>
      <w:pPr>
        <w:pStyle w:val="ListBullet"/>
        <w:spacing w:line="240" w:lineRule="auto"/>
        <w:ind w:left="720"/>
      </w:pPr>
      <w:r/>
      <w:r>
        <w:rPr>
          <w:b/>
        </w:rPr>
        <w:t>Human lives come first:</w:t>
      </w:r>
      <w:r>
        <w:t xml:space="preserve"> Transgender people shouldn’t be reduced to campaign talking points or polling calculations.</w:t>
      </w:r>
      <w:r/>
    </w:p>
    <w:p>
      <w:pPr>
        <w:pStyle w:val="ListBullet"/>
        <w:spacing w:line="240" w:lineRule="auto"/>
        <w:ind w:left="720"/>
      </w:pPr>
      <w:r/>
      <w:r>
        <w:rPr>
          <w:b/>
        </w:rPr>
        <w:t>Catholic teaching matters:</w:t>
      </w:r>
      <w:r>
        <w:t xml:space="preserve"> The principle of inherent human dignity offers a clear ethical basis for protecting vulnerable communities.</w:t>
      </w:r>
      <w:r/>
    </w:p>
    <w:p>
      <w:pPr>
        <w:pStyle w:val="ListBullet"/>
        <w:spacing w:line="240" w:lineRule="auto"/>
        <w:ind w:left="720"/>
      </w:pPr>
      <w:r/>
      <w:r>
        <w:rPr>
          <w:b/>
        </w:rPr>
        <w:t>Language has consequences:</w:t>
      </w:r>
      <w:r>
        <w:t xml:space="preserve"> Names, pronouns and public rhetoric can either affirm someone’s humanity or make exclusion feel routine.</w:t>
      </w:r>
      <w:r/>
    </w:p>
    <w:p>
      <w:pPr>
        <w:pStyle w:val="ListBullet"/>
        <w:spacing w:line="240" w:lineRule="auto"/>
        <w:ind w:left="720"/>
      </w:pPr>
      <w:r/>
      <w:r>
        <w:rPr>
          <w:b/>
        </w:rPr>
        <w:t>Good-faith debate still has limits:</w:t>
      </w:r>
      <w:r>
        <w:t xml:space="preserve"> Questions about institutions and policy shouldn’t blur the reality of discrimination or violence.</w:t>
      </w:r>
      <w:r/>
    </w:p>
    <w:p>
      <w:pPr>
        <w:pStyle w:val="ListBullet"/>
        <w:spacing w:line="240" w:lineRule="auto"/>
        <w:ind w:left="720"/>
      </w:pPr>
      <w:r/>
      <w:r>
        <w:rPr>
          <w:b/>
        </w:rPr>
        <w:t>The political frame is too narrow:</w:t>
      </w:r>
      <w:r>
        <w:t xml:space="preserve"> Rights and safety deserve attention even when defending them isn’t electorally convenient.</w:t>
      </w:r>
      <w:r/>
      <w:r/>
    </w:p>
    <w:p>
      <w:pPr>
        <w:pStyle w:val="Heading2"/>
      </w:pPr>
      <w:r>
        <w:t>Transgender lives are more than a culture-war slogan</w:t>
      </w:r>
      <w:r/>
    </w:p>
    <w:p>
      <w:r/>
      <w:r>
        <w:t>The sharpest warning in this debate is also the simplest: transgender people are not an abstract issue. They’re neighbours, pupils, colleagues, family members and members of faith communities, yet public discussion often turns their lives into a test of political branding.</w:t>
      </w:r>
      <w:r/>
    </w:p>
    <w:p>
      <w:r/>
      <w:r>
        <w:t>Daniel Horan, writing for the National Catholic Reporter, argues that this framing is particularly damaging because it makes basic protections sound optional. When access to care, personal safety or recognition is discussed mainly as a liability for politicians, the human cost can disappear behind a polished campaign phrase.</w:t>
      </w:r>
      <w:r/>
    </w:p>
    <w:p>
      <w:r/>
      <w:r>
        <w:t>That’s a grim trade-off. Nobody should have to wait for an issue to become electorally popular before their dignity is taken seriously.</w:t>
      </w:r>
      <w:r/>
    </w:p>
    <w:p>
      <w:pPr>
        <w:pStyle w:val="Heading2"/>
      </w:pPr>
      <w:r>
        <w:t>Why the Catholic argument centres on dignity</w:t>
      </w:r>
      <w:r/>
    </w:p>
    <w:p>
      <w:r/>
      <w:r>
        <w:t>For Horan, the Catholic tradition already provides a strong starting point: every person possesses inherent dignity. That principle doesn’t depend on whether someone is fashionable, popular or easy to explain at a dinner table.</w:t>
      </w:r>
      <w:r/>
    </w:p>
    <w:p>
      <w:r/>
      <w:r>
        <w:t>The National Catholic Reporter has also published arguments for a church response to anti-transgender legislation, placing the issue within a broader concern for vulnerable people and public justice. The result is a moral lens rather than a tactical one. It asks what protects people, not what produces the neatest headline.</w:t>
      </w:r>
      <w:r/>
    </w:p>
    <w:p>
      <w:r/>
      <w:r>
        <w:t>That distinction matters. Political language can shift overnight, while the consequences of exclusion can linger in classrooms, clinics and families for years.</w:t>
      </w:r>
      <w:r/>
    </w:p>
    <w:p>
      <w:pPr>
        <w:pStyle w:val="Heading2"/>
      </w:pPr>
      <w:r>
        <w:t>Pronouns and names are small words with real weight</w:t>
      </w:r>
      <w:r/>
    </w:p>
    <w:p>
      <w:r/>
      <w:r>
        <w:t>Arguments about language can sometimes sound minor compared with legislation or healthcare, but everyday speech sets the tone for belonging. Using someone’s preferred name and pronouns is a practical way to recognise them, rather than forcing them to repeatedly defend their identity.</w:t>
      </w:r>
      <w:r/>
    </w:p>
    <w:p>
      <w:r/>
      <w:r>
        <w:t>The National Catholic Reporter has explored why Catholics should use preferred names and pronouns, bringing the conversation into ordinary community life. In practice, this is less about mastering a perfect vocabulary and more about showing basic care. Most people manage unfamiliar names, titles and forms of address every day; extending that courtesy shouldn’t be treated as a moral crisis.</w:t>
      </w:r>
      <w:r/>
    </w:p>
    <w:p>
      <w:r/>
      <w:r>
        <w:t>And when someone gets it wrong, a quick correction is usually better than a dramatic apology tour. The goal is respect, not performance.</w:t>
      </w:r>
      <w:r/>
    </w:p>
    <w:p>
      <w:pPr>
        <w:pStyle w:val="Heading2"/>
      </w:pPr>
      <w:r>
        <w:t>Debate policy without debating whether people matter</w:t>
      </w:r>
      <w:r/>
    </w:p>
    <w:p>
      <w:r/>
      <w:r>
        <w:t>There’s room for careful discussion about how schools, churches and public institutions create inclusive spaces. Policies should be examined honestly, evidence should matter and disagreements should be handled without caricature.</w:t>
      </w:r>
      <w:r/>
    </w:p>
    <w:p>
      <w:r/>
      <w:r>
        <w:t>But that isn’t the same as treating the existence or safety of transgender people as an optional proposition. Horan’s argument draws a firm line between discussing the best way to build fair institutions and presenting a marginalised group as a political burden.</w:t>
      </w:r>
      <w:r/>
    </w:p>
    <w:p>
      <w:r/>
      <w:r>
        <w:t>Coverage in the National Catholic Reporter has repeatedly connected opposition to anti-transgender legislation with the church’s wider responsibilities towards people at risk. That approach recognises an important difference: policy can be debated, but human dignity shouldn’t be put to a vote.</w:t>
      </w:r>
      <w:r/>
    </w:p>
    <w:p>
      <w:pPr>
        <w:pStyle w:val="Heading2"/>
      </w:pPr>
      <w:r>
        <w:t>What faith communities can do next</w:t>
      </w:r>
      <w:r/>
    </w:p>
    <w:p>
      <w:r/>
      <w:r>
        <w:t>The practical response is not complicated, even if the wider politics are. Faith communities can use people’s names and pronouns, challenge demeaning comments, learn about the effects of anti-transgender laws and make sure pastoral support is available without interrogation or suspicion.</w:t>
      </w:r>
      <w:r/>
    </w:p>
    <w:p>
      <w:r/>
      <w:r>
        <w:t>Leaders can also resist the temptation to describe trans inclusion as fashionable activism. That language may sound politically savvy, but it tells transgender members that their place in the community is conditional. A warmer, more honest approach starts by listening and then acting consistently.</w:t>
      </w:r>
      <w:r/>
    </w:p>
    <w:p>
      <w:r/>
      <w:r>
        <w:t>For many transgender people, welcome isn’t an abstract theological concept. It’s whether they can enter a church, speak to a minister or attend a community event without bracing themselves for humiliation. That’s where moral principles become real.</w:t>
      </w:r>
      <w:r/>
    </w:p>
    <w:p>
      <w:r/>
      <w:r>
        <w:t>Protecting transgender dignity starts when people stop treating real lives as political bargaining chips.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2">
        <w:r>
          <w:rPr>
            <w:color w:val="0000EE"/>
            <w:u w:val="single"/>
          </w:rPr>
          <w:t>[4]</w:t>
        </w:r>
      </w:hyperlink>
      <w:r>
        <w:t xml:space="preserve">, </w:t>
      </w:r>
      <w:hyperlink r:id="rId11">
        <w:r>
          <w:rPr>
            <w:color w:val="0000EE"/>
            <w:u w:val="single"/>
          </w:rPr>
          <w:t>[5]</w:t>
        </w:r>
      </w:hyperlink>
      <w:r>
        <w:t xml:space="preserve">- Paragraph 5: </w:t>
      </w:r>
      <w:hyperlink r:id="rId11">
        <w:r>
          <w:rPr>
            <w:color w:val="0000EE"/>
            <w:u w:val="single"/>
          </w:rPr>
          <w:t>[3]</w:t>
        </w:r>
      </w:hyperlink>
      <w:r>
        <w:t xml:space="preserve">, </w:t>
      </w:r>
      <w:hyperlink r:id="rId11">
        <w:r>
          <w:rPr>
            <w:color w:val="0000EE"/>
            <w:u w:val="single"/>
          </w:rPr>
          <w:t>[6]</w:t>
        </w:r>
      </w:hyperlink>
      <w:r>
        <w:t xml:space="preserve">- Paragraph 6: </w:t>
      </w:r>
      <w:hyperlink r:id="rId11">
        <w:r>
          <w:rPr>
            <w:color w:val="0000EE"/>
            <w:u w:val="single"/>
          </w:rPr>
          <w:t>[3]</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1">
        <w:r>
          <w:rPr>
            <w:color w:val="0000EE"/>
            <w:u w:val="single"/>
          </w:rPr>
          <w:t>[5]</w:t>
        </w:r>
      </w:hyperlink>
      <w:r>
        <w:t xml:space="preserve">- Paragraph 9: </w:t>
      </w:r>
      <w:hyperlink r:id="rId12">
        <w:r>
          <w:rPr>
            <w:color w:val="0000EE"/>
            <w:u w:val="single"/>
          </w:rPr>
          <w:t>[4]</w:t>
        </w:r>
      </w:hyperlink>
      <w:r>
        <w:t xml:space="preserve">, </w:t>
      </w:r>
      <w:hyperlink r:id="rId11">
        <w:r>
          <w:rPr>
            <w:color w:val="0000EE"/>
            <w:u w:val="single"/>
          </w:rPr>
          <w:t>[6]</w:t>
        </w:r>
      </w:hyperlink>
      <w:r>
        <w:t xml:space="preserve">- Paragraph 10: </w:t>
      </w:r>
      <w:hyperlink r:id="rId11">
        <w:r>
          <w:rPr>
            <w:color w:val="0000EE"/>
            <w:u w:val="single"/>
          </w:rPr>
          <w:t>[3]</w:t>
        </w:r>
      </w:hyperlink>
      <w:r>
        <w:t xml:space="preserve">, </w:t>
      </w:r>
      <w:hyperlink r:id="rId11">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1">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[6]</w:t>
        </w:r>
      </w:hyperlink>
      <w:r>
        <w:t xml:space="preserve">- Paragraph 14: </w:t>
      </w:r>
      <w:hyperlink r:id="rId11">
        <w:r>
          <w:rPr>
            <w:color w:val="0000EE"/>
            <w:u w:val="single"/>
          </w:rPr>
          <w:t>[3]</w:t>
        </w:r>
      </w:hyperlink>
      <w:r>
        <w:t xml:space="preserve">, </w:t>
      </w:r>
      <w:hyperlink r:id="rId11">
        <w:r>
          <w:rPr>
            <w:color w:val="0000EE"/>
            <w:u w:val="single"/>
          </w:rPr>
          <w:t>[7]</w:t>
        </w:r>
      </w:hyperlink>
      <w:r>
        <w:t xml:space="preserve">- Paragraph 15: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https://www.newwaysministry.org/2026/09/15/no-playing-politics-with-trans-peoples-lives/</w:t>
        </w:r>
      </w:hyperlink>
      <w:r>
        <w:t xml:space="preserve"> - Please view link - unable to able to access data</w:t>
      </w:r>
      <w:r/>
    </w:p>
    <w:p>
      <w:pPr>
        <w:pStyle w:val="ListNumber"/>
        <w:spacing w:line="240" w:lineRule="auto"/>
        <w:ind w:left="720"/>
      </w:pPr>
      <w:r/>
      <w:hyperlink r:id="rId10">
        <w:r>
          <w:rPr>
            <w:color w:val="0000EE"/>
            <w:u w:val="single"/>
          </w:rPr>
          <w:t>https://www.ncronline.org/opinion/transgender-lives-are-not-cultural-issue</w:t>
        </w:r>
      </w:hyperlink>
      <w:r>
        <w:t xml:space="preserve"> - In this article, Daniel P. Horan critiques the trend of treating transgender rights as a political or cultural issue, emphasising the need to recognise them as fundamental human rights. He highlights the dangers of reducing trans advocacy to political strategy, noting that both political sides have, in different ways, used trans rights as a political tool, which undermines the real-world impact on transgender individuals. Horan calls for a moral framework that upholds the inalienable dignity of the human person, urging people of faith to protect and preserve everyone's human rights.</w:t>
      </w:r>
      <w:r/>
    </w:p>
    <w:p>
      <w:pPr>
        <w:pStyle w:val="ListNumber"/>
        <w:spacing w:line="240" w:lineRule="auto"/>
        <w:ind w:left="720"/>
      </w:pPr>
      <w:r/>
      <w:hyperlink r:id="rId11">
        <w:r>
          <w:rPr>
            <w:color w:val="0000EE"/>
            <w:u w:val="single"/>
          </w:rPr>
          <w:t>https://www.ncronline.org/opinion/faith-seeking-understanding/why-church-should-fight-anti-transgender-legislation</w:t>
        </w:r>
      </w:hyperlink>
      <w:r>
        <w:t xml:space="preserve"> - Daniel P. Horan argues that the Catholic Church should actively oppose anti-transgender legislation, stating that such reactions betray ignorance of the longstanding reality of transgender identities and have life-and-death consequences for trans people. He criticises the performative shock and alarm exhibited by some politicians and religious leaders in response to the visibility of transgender individuals, advocating for a more inclusive and welcoming approach within the Church.</w:t>
      </w:r>
      <w:r/>
    </w:p>
    <w:p>
      <w:pPr>
        <w:pStyle w:val="ListNumber"/>
        <w:spacing w:line="240" w:lineRule="auto"/>
        <w:ind w:left="720"/>
      </w:pPr>
      <w:r/>
      <w:hyperlink r:id="rId12">
        <w:r>
          <w:rPr>
            <w:color w:val="0000EE"/>
            <w:u w:val="single"/>
          </w:rPr>
          <w:t>https://www.ncronline.org/news/opinion/why-catholics-should-use-preferred-gender-pronouns-and-names</w:t>
        </w:r>
      </w:hyperlink>
      <w:r>
        <w:t xml:space="preserve"> - In this piece, Daniel P. Horan discusses the importance of using preferred gender pronouns and names, drawing parallels with the biblical tradition of name changes following divine encounters. He argues that respecting individuals' chosen names and pronouns is a matter of human dignity and reflects the Catholic commitment to recognising and honouring each person's identity.</w:t>
      </w:r>
      <w:r/>
    </w:p>
    <w:p>
      <w:pPr>
        <w:pStyle w:val="ListNumber"/>
        <w:spacing w:line="240" w:lineRule="auto"/>
        <w:ind w:left="720"/>
      </w:pPr>
      <w:r/>
      <w:hyperlink r:id="rId11">
        <w:r>
          <w:rPr>
            <w:color w:val="0000EE"/>
            <w:u w:val="single"/>
          </w:rPr>
          <w:t>https://www.ncronline.org/opinion/faith-seeking-understanding/why-church-should-fight-anti-transgender-legislation</w:t>
        </w:r>
      </w:hyperlink>
      <w:r>
        <w:t xml:space="preserve"> - Daniel P. Horan argues that the Catholic Church should actively oppose anti-transgender legislation, stating that such reactions betray ignorance of the longstanding reality of transgender identities and have life-and-death consequences for trans people. He criticises the performative shock and alarm exhibited by some politicians and religious leaders in response to the visibility of transgender individuals, advocating for a more inclusive and welcoming approach within the Church.</w:t>
      </w:r>
      <w:r/>
    </w:p>
    <w:p>
      <w:pPr>
        <w:pStyle w:val="ListNumber"/>
        <w:spacing w:line="240" w:lineRule="auto"/>
        <w:ind w:left="720"/>
      </w:pPr>
      <w:r/>
      <w:hyperlink r:id="rId11">
        <w:r>
          <w:rPr>
            <w:color w:val="0000EE"/>
            <w:u w:val="single"/>
          </w:rPr>
          <w:t>https://www.ncronline.org/opinion/faith-seeking-understanding/why-church-should-fight-anti-transgender-legislation</w:t>
        </w:r>
      </w:hyperlink>
      <w:r>
        <w:t xml:space="preserve"> - Daniel P. Horan argues that the Catholic Church should actively oppose anti-transgender legislation, stating that such reactions betray ignorance of the longstanding reality of transgender identities and have life-and-death consequences for trans people. He criticises the performative shock and alarm exhibited by some politicians and religious leaders in response to the visibility of transgender individuals, advocating for a more inclusive and welcoming approach within the Church.</w:t>
      </w:r>
      <w:r/>
    </w:p>
    <w:p>
      <w:pPr>
        <w:pStyle w:val="ListNumber"/>
        <w:spacing w:line="240" w:lineRule="auto"/>
        <w:ind w:left="720"/>
      </w:pPr>
      <w:r/>
      <w:hyperlink r:id="rId11">
        <w:r>
          <w:rPr>
            <w:color w:val="0000EE"/>
            <w:u w:val="single"/>
          </w:rPr>
          <w:t>https://www.ncronline.org/opinion/faith-seeking-understanding/why-church-should-fight-anti-transgender-legislation</w:t>
        </w:r>
      </w:hyperlink>
      <w:r>
        <w:t xml:space="preserve"> - Daniel P. Horan argues that the Catholic Church should actively oppose anti-transgender legislation, stating that such reactions betray ignorance of the longstanding reality of transgender identities and have life-and-death consequences for trans people. He criticises the performative shock and alarm exhibited by some politicians and religious leaders in response to the visibility of transgender individuals, advocating for a more inclusive and welcoming approach within the Church.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09/15/no-playing-politics-with-trans-peoples-lives/" TargetMode="External"/><Relationship Id="rId10" Type="http://schemas.openxmlformats.org/officeDocument/2006/relationships/hyperlink" Target="https://www.ncronline.org/opinion/transgender-lives-are-not-cultural-issue" TargetMode="External"/><Relationship Id="rId11" Type="http://schemas.openxmlformats.org/officeDocument/2006/relationships/hyperlink" Target="https://www.ncronline.org/opinion/faith-seeking-understanding/why-church-should-fight-anti-transgender-legislation" TargetMode="External"/><Relationship Id="rId12" Type="http://schemas.openxmlformats.org/officeDocument/2006/relationships/hyperlink" Target="https://www.ncronline.org/news/opinion/why-catholics-should-use-preferred-gender-pronouns-and-na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