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How LGBTQ+ Surrogacy Benefits Are Changing Family Building</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LGBTQ+ couples are finding more employers willing to support surrogacy, IVF and other routes to parenthood, but the journey still demands planning, patience and persistence. Here’s what prospective parents should know about workplace cover, legal guidance and the emotional realities behind building a family.</w:t>
      </w:r>
      <w:r/>
    </w:p>
    <w:p>
      <w:pPr>
        <w:pStyle w:val="Heading2"/>
      </w:pPr>
      <w:r>
        <w:t>Essential Takeaways</w:t>
      </w:r>
      <w:r/>
      <w:r/>
    </w:p>
    <w:p>
      <w:pPr>
        <w:pStyle w:val="ListBullet"/>
        <w:spacing w:line="240" w:lineRule="auto"/>
        <w:ind w:left="720"/>
      </w:pPr>
      <w:r/>
      <w:r>
        <w:rPr>
          <w:b/>
        </w:rPr>
        <w:t>Workplace support is growing:</w:t>
      </w:r>
      <w:r>
        <w:t xml:space="preserve"> Some employers now offer IVF, surrogacy and broader LGBTQ+ family-building benefits.</w:t>
      </w:r>
      <w:r/>
    </w:p>
    <w:p>
      <w:pPr>
        <w:pStyle w:val="ListBullet"/>
        <w:spacing w:line="240" w:lineRule="auto"/>
        <w:ind w:left="720"/>
      </w:pPr>
      <w:r/>
      <w:r>
        <w:rPr>
          <w:b/>
        </w:rPr>
        <w:t>Coverage varies widely:</w:t>
      </w:r>
      <w:r>
        <w:t xml:space="preserve"> Policies can differ on eligible expenses, limits, legal fees and access requirements.</w:t>
      </w:r>
      <w:r/>
    </w:p>
    <w:p>
      <w:pPr>
        <w:pStyle w:val="ListBullet"/>
        <w:spacing w:line="240" w:lineRule="auto"/>
        <w:ind w:left="720"/>
      </w:pPr>
      <w:r/>
      <w:r>
        <w:rPr>
          <w:b/>
        </w:rPr>
        <w:t>Specialist advice matters:</w:t>
      </w:r>
      <w:r>
        <w:t xml:space="preserve"> Surrogacy involves medical, financial and legal decisions that are easier to manage with expert help.</w:t>
      </w:r>
      <w:r/>
    </w:p>
    <w:p>
      <w:pPr>
        <w:pStyle w:val="ListBullet"/>
        <w:spacing w:line="240" w:lineRule="auto"/>
        <w:ind w:left="720"/>
      </w:pPr>
      <w:r/>
      <w:r>
        <w:rPr>
          <w:b/>
        </w:rPr>
        <w:t>Personal networks can help:</w:t>
      </w:r>
      <w:r>
        <w:t xml:space="preserve"> Friends, relatives and community connections may provide practical or emotional support.</w:t>
      </w:r>
      <w:r/>
    </w:p>
    <w:p>
      <w:pPr>
        <w:pStyle w:val="ListBullet"/>
        <w:spacing w:line="240" w:lineRule="auto"/>
        <w:ind w:left="720"/>
      </w:pPr>
      <w:r/>
      <w:r>
        <w:rPr>
          <w:b/>
        </w:rPr>
        <w:t>The process takes time:</w:t>
      </w:r>
      <w:r>
        <w:t xml:space="preserve"> Matching, treatment, paperwork and legal steps can stretch over months or longer.</w:t>
      </w:r>
      <w:r/>
      <w:r/>
    </w:p>
    <w:p>
      <w:pPr>
        <w:pStyle w:val="Heading2"/>
      </w:pPr>
      <w:r>
        <w:t>Surrogacy cover is becoming part of the benefits conversation</w:t>
      </w:r>
      <w:r/>
    </w:p>
    <w:p>
      <w:r/>
      <w:r>
        <w:t>For many LGBTQ+ employees, the route to parenthood doesn't fit neatly into traditional maternity or adoption packages. IVF, donor conception and surrogacy can all involve major costs, while older workplace policies often assumed that every family began in the same way.</w:t>
      </w:r>
      <w:r/>
    </w:p>
    <w:p>
      <w:r/>
      <w:r>
        <w:t>That is beginning to change. Nvidia describes LGBTQ+ support within its employee benefits, while Autodesk lists dedicated resources for LGBTQ+ family building. The shift is important because it moves the discussion away from special treatment and towards equal access to becoming a parent.</w:t>
      </w:r>
      <w:r/>
    </w:p>
    <w:p>
      <w:r/>
      <w:r>
        <w:t>Still, a benefit on paper isn't automatically a simple benefit in practice. Employees need to check whether their plan covers medical treatment, donor services, agency fees, legal work or travel. The small print can matter just as much as the headline promise.</w:t>
      </w:r>
      <w:r/>
    </w:p>
    <w:p>
      <w:pPr>
        <w:pStyle w:val="Heading2"/>
      </w:pPr>
      <w:r>
        <w:t>Employers are broadening IVF and family-building support</w:t>
      </w:r>
      <w:r/>
    </w:p>
    <w:p>
      <w:r/>
      <w:r>
        <w:t>Companies are also treating fertility support as a wider family benefit rather than a narrow medical perk. Grindr has highlighted coverage for IVF and surrogacy, while Kindbody's Tesla benefits information shows how some employers use specialist providers to guide employees through treatment and care.</w:t>
      </w:r>
      <w:r/>
    </w:p>
    <w:p>
      <w:r/>
      <w:r>
        <w:t>That can make a daunting process feel less like a maze. A dedicated provider may help with appointments, paperwork and referrals, although the quality and scope of support will depend on the employer's plan.</w:t>
      </w:r>
      <w:r/>
    </w:p>
    <w:p>
      <w:r/>
      <w:r>
        <w:t>For employees, the first practical step is a quiet benefits audit. Ask whether LGBTQ+ family-building support is available, who qualifies, what the financial ceiling is and whether pre-authorisation is required. It is much easier to raise these questions before treatment begins than after a bill arrives.</w:t>
      </w:r>
      <w:r/>
    </w:p>
    <w:p>
      <w:pPr>
        <w:pStyle w:val="Heading2"/>
      </w:pPr>
      <w:r>
        <w:t>Why specialist legal advice remains essential</w:t>
      </w:r>
      <w:r/>
    </w:p>
    <w:p>
      <w:r/>
      <w:r>
        <w:t>Surrogacy isn't only a healthcare decision. Parentage orders, contracts, donor arrangements and state-specific rules can all affect the route to bringing a baby home. Family Building Co. presents different pathways for intended parents, underlining how varied the process can be.</w:t>
      </w:r>
      <w:r/>
    </w:p>
    <w:p>
      <w:r/>
      <w:r>
        <w:t>That complexity is particularly relevant for LGBTQ+ couples, who may need advice tailored to their family structure and location. A general online checklist can be useful for orientation, but it shouldn't replace an experienced family lawyer.</w:t>
      </w:r>
      <w:r/>
    </w:p>
    <w:p>
      <w:r/>
      <w:r>
        <w:t>Specialist organisations also stress that LGBTQ+ parents can take many routes into parenthood, including gestational surrogacy and donor-assisted conception. Circle Surrogacy, for example, works specifically with LGBTQ+ intended parents and frames the process around matching, support and legal preparation.</w:t>
      </w:r>
      <w:r/>
    </w:p>
    <w:p>
      <w:pPr>
        <w:pStyle w:val="Heading2"/>
      </w:pPr>
      <w:r>
        <w:t>The human side of building a family</w:t>
      </w:r>
      <w:r/>
    </w:p>
    <w:p>
      <w:r/>
      <w:r>
        <w:t>The spreadsheets and contracts only tell part of the story. Intended parents are also choosing people they trust, managing uncertainty and preparing for relationships that may continue long after a child is born.</w:t>
      </w:r>
      <w:r/>
    </w:p>
    <w:p>
      <w:r/>
      <w:r>
        <w:t>That support can come from friends, relatives, employers or LGBTQ+ community networks. A trusted advocate at work may help explain why an existing adoption benefit doesn't necessarily cover surrogacy, while a specialist counsellor can offer space for the emotional strain that paperwork tends to hide.</w:t>
      </w:r>
      <w:r/>
    </w:p>
    <w:p>
      <w:r/>
      <w:r>
        <w:t>There is also a quieter cultural change under way. When companies openly recognise same-sex parents in their policies, employees no longer have to explain why their family-building route deserves consideration. It may sound administrative, but that recognition can feel deeply personal.</w:t>
      </w:r>
      <w:r/>
    </w:p>
    <w:p>
      <w:pPr>
        <w:pStyle w:val="Heading2"/>
      </w:pPr>
      <w:r>
        <w:t>How to compare LGBTQ+ family-building benefits</w:t>
      </w:r>
      <w:r/>
    </w:p>
    <w:p>
      <w:r/>
      <w:r>
        <w:t>Start with the total budget, not just the benefit limit. Surrogacy may involve medical care, donor costs, agency or matching fees, insurance, legal work and travel, and not every plan covers each category.</w:t>
      </w:r>
      <w:r/>
    </w:p>
    <w:p>
      <w:r/>
      <w:r>
        <w:t>Next, ask for the rules in writing. Confirm whether reimbursement is available upfront, whether a specific provider must be used and what happens if treatment crosses benefit years. Also check whether support extends to partners and whether there are exclusions based on medical necessity or family status.</w:t>
      </w:r>
      <w:r/>
    </w:p>
    <w:p>
      <w:r/>
      <w:r>
        <w:t>Finally, build in time. Matching and legal processes don't move at the speed of an online purchase, and rushing can add pressure to an already emotional decision. Good information won't remove every obstacle, but it can make the path feel less lonely and more manageable.</w:t>
      </w:r>
      <w:r/>
    </w:p>
    <w:p>
      <w:r/>
      <w:r>
        <w:t>Workplace benefits are opening doors, but informed planning still makes the biggest difference.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[3]</w:t>
        </w:r>
      </w:hyperlink>
      <w:r>
        <w:t xml:space="preserve">, </w:t>
      </w:r>
      <w:hyperlink r:id="rId13">
        <w:r>
          <w:rPr>
            <w:color w:val="0000EE"/>
            <w:u w:val="single"/>
          </w:rPr>
          <w:t>[6]</w:t>
        </w:r>
      </w:hyperlink>
      <w:r>
        <w:t xml:space="preserve">- Paragraph 3: </w:t>
      </w:r>
      <w:hyperlink r:id="rId14">
        <w:r>
          <w:rPr>
            <w:color w:val="0000EE"/>
            <w:u w:val="single"/>
          </w:rPr>
          <w:t>[5]</w:t>
        </w:r>
      </w:hyperlink>
      <w:r>
        <w:t xml:space="preserve">, </w:t>
      </w:r>
      <w:hyperlink r:id="rId15">
        <w:r>
          <w:rPr>
            <w:color w:val="0000EE"/>
            <w:u w:val="single"/>
          </w:rPr>
          <w:t>[7]</w:t>
        </w:r>
      </w:hyperlink>
      <w:r>
        <w:t xml:space="preserve">- Paragraph 4: </w:t>
      </w:r>
      <w:hyperlink r:id="rId10">
        <w:r>
          <w:rPr>
            <w:color w:val="0000EE"/>
            <w:u w:val="single"/>
          </w:rPr>
          <w:t>[2]</w:t>
        </w:r>
      </w:hyperlink>
      <w:r>
        <w:t xml:space="preserve">, </w:t>
      </w:r>
      <w:hyperlink r:id="rId12">
        <w:r>
          <w:rPr>
            <w:color w:val="0000EE"/>
            <w:u w:val="single"/>
          </w:rPr>
          <w:t>[3]</w:t>
        </w:r>
      </w:hyperlink>
      <w:r>
        <w:t xml:space="preserve">- Paragraph 5: </w:t>
      </w:r>
      <w:hyperlink r:id="rId11">
        <w:r>
          <w:rPr>
            <w:color w:val="0000EE"/>
            <w:u w:val="single"/>
          </w:rPr>
          <w:t>[4]</w:t>
        </w:r>
      </w:hyperlink>
      <w:r>
        <w:t xml:space="preserve">, </w:t>
      </w:r>
      <w:hyperlink r:id="rId13">
        <w:r>
          <w:rPr>
            <w:color w:val="0000EE"/>
            <w:u w:val="single"/>
          </w:rPr>
          <w:t>[6]</w:t>
        </w:r>
      </w:hyperlink>
      <w:r>
        <w:t xml:space="preserve">- Paragraph 6: </w:t>
      </w:r>
      <w:hyperlink r:id="rId14">
        <w:r>
          <w:rPr>
            <w:color w:val="0000EE"/>
            <w:u w:val="single"/>
          </w:rPr>
          <w:t>[5]</w:t>
        </w:r>
      </w:hyperlink>
      <w:r>
        <w:t xml:space="preserve">, </w:t>
      </w:r>
      <w:hyperlink r:id="rId15">
        <w:r>
          <w:rPr>
            <w:color w:val="0000EE"/>
            <w:u w:val="single"/>
          </w:rPr>
          <w:t>[7]</w:t>
        </w:r>
      </w:hyperlink>
      <w:r>
        <w:t xml:space="preserve">- Paragraph 7: </w:t>
      </w:r>
      <w:hyperlink r:id="rId12">
        <w:r>
          <w:rPr>
            <w:color w:val="0000EE"/>
            <w:u w:val="single"/>
          </w:rPr>
          <w:t>[3]</w:t>
        </w:r>
      </w:hyperlink>
      <w:r>
        <w:t xml:space="preserve">, </w:t>
      </w:r>
      <w:hyperlink r:id="rId11">
        <w:r>
          <w:rPr>
            <w:color w:val="0000EE"/>
            <w:u w:val="single"/>
          </w:rPr>
          <w:t>[4]</w:t>
        </w:r>
      </w:hyperlink>
      <w:r>
        <w:t xml:space="preserve">- Paragraph 8: </w:t>
      </w:r>
      <w:hyperlink r:id="rId14">
        <w:r>
          <w:rPr>
            <w:color w:val="0000EE"/>
            <w:u w:val="single"/>
          </w:rPr>
          <w:t>[5]</w:t>
        </w:r>
      </w:hyperlink>
      <w:r>
        <w:t xml:space="preserve">, </w:t>
      </w:r>
      <w:hyperlink r:id="rId15">
        <w:r>
          <w:rPr>
            <w:color w:val="0000EE"/>
            <w:u w:val="single"/>
          </w:rPr>
          <w:t>[7]</w:t>
        </w:r>
      </w:hyperlink>
      <w:r>
        <w:t xml:space="preserve">- Paragraph 9: </w:t>
      </w:r>
      <w:hyperlink r:id="rId10">
        <w:r>
          <w:rPr>
            <w:color w:val="0000EE"/>
            <w:u w:val="single"/>
          </w:rPr>
          <w:t>[2]</w:t>
        </w:r>
      </w:hyperlink>
      <w:r>
        <w:t xml:space="preserve">, </w:t>
      </w:r>
      <w:hyperlink r:id="rId11">
        <w:r>
          <w:rPr>
            <w:color w:val="0000EE"/>
            <w:u w:val="single"/>
          </w:rPr>
          <w:t>[4]</w:t>
        </w:r>
      </w:hyperlink>
      <w:r>
        <w:t xml:space="preserve">- Paragraph 10: </w:t>
      </w:r>
      <w:hyperlink r:id="rId12">
        <w:r>
          <w:rPr>
            <w:color w:val="0000EE"/>
            <w:u w:val="single"/>
          </w:rPr>
          <w:t>[3]</w:t>
        </w:r>
      </w:hyperlink>
      <w:r>
        <w:t xml:space="preserve">, </w:t>
      </w:r>
      <w:hyperlink r:id="rId13">
        <w:r>
          <w:rPr>
            <w:color w:val="0000EE"/>
            <w:u w:val="single"/>
          </w:rPr>
          <w:t>[6]</w:t>
        </w:r>
      </w:hyperlink>
      <w:r>
        <w:t xml:space="preserve">- Paragraph 11: </w:t>
      </w:r>
      <w:hyperlink r:id="rId14">
        <w:r>
          <w:rPr>
            <w:color w:val="0000EE"/>
            <w:u w:val="single"/>
          </w:rPr>
          <w:t>[5]</w:t>
        </w:r>
      </w:hyperlink>
      <w:r>
        <w:t xml:space="preserve">, </w:t>
      </w:r>
      <w:hyperlink r:id="rId15">
        <w:r>
          <w:rPr>
            <w:color w:val="0000EE"/>
            <w:u w:val="single"/>
          </w:rPr>
          <w:t>[7]</w:t>
        </w:r>
      </w:hyperlink>
      <w:r>
        <w:t xml:space="preserve">- Paragraph 12: </w:t>
      </w:r>
      <w:hyperlink r:id="rId10">
        <w:r>
          <w:rPr>
            <w:color w:val="0000EE"/>
            <w:u w:val="single"/>
          </w:rPr>
          <w:t>[2]</w:t>
        </w:r>
      </w:hyperlink>
      <w:r>
        <w:t xml:space="preserve">, </w:t>
      </w:r>
      <w:hyperlink r:id="rId12">
        <w:r>
          <w:rPr>
            <w:color w:val="0000EE"/>
            <w:u w:val="single"/>
          </w:rPr>
          <w:t>[3]</w:t>
        </w:r>
      </w:hyperlink>
      <w:r>
        <w:t xml:space="preserve">- Paragraph 13: </w:t>
      </w:r>
      <w:hyperlink r:id="rId11">
        <w:r>
          <w:rPr>
            <w:color w:val="0000EE"/>
            <w:u w:val="single"/>
          </w:rPr>
          <w:t>[4]</w:t>
        </w:r>
      </w:hyperlink>
      <w:r>
        <w:t xml:space="preserve">, </w:t>
      </w:r>
      <w:hyperlink r:id="rId13">
        <w:r>
          <w:rPr>
            <w:color w:val="0000EE"/>
            <w:u w:val="single"/>
          </w:rPr>
          <w:t>[6]</w:t>
        </w:r>
      </w:hyperlink>
      <w:r>
        <w:t xml:space="preserve">- Paragraph 14: </w:t>
      </w:r>
      <w:hyperlink r:id="rId14">
        <w:r>
          <w:rPr>
            <w:color w:val="0000EE"/>
            <w:u w:val="single"/>
          </w:rPr>
          <w:t>[5]</w:t>
        </w:r>
      </w:hyperlink>
      <w:r>
        <w:t xml:space="preserve">, </w:t>
      </w:r>
      <w:hyperlink r:id="rId15">
        <w:r>
          <w:rPr>
            <w:color w:val="0000EE"/>
            <w:u w:val="single"/>
          </w:rPr>
          <w:t>[7]</w:t>
        </w:r>
      </w:hyperlink>
      <w:r>
        <w:t xml:space="preserve">- Paragraph 15: </w:t>
      </w:r>
      <w:hyperlink r:id="rId10">
        <w:r>
          <w:rPr>
            <w:color w:val="0000EE"/>
            <w:u w:val="single"/>
          </w:rPr>
          <w:t>[2]</w:t>
        </w:r>
      </w:hyperlink>
      <w:r>
        <w:t xml:space="preserve">, </w:t>
      </w:r>
      <w:hyperlink r:id="rId11">
        <w:r>
          <w:rPr>
            <w:color w:val="0000EE"/>
            <w:u w:val="single"/>
          </w:rPr>
          <w:t>[4]</w:t>
        </w:r>
      </w:hyperlink>
      <w:r>
        <w:t xml:space="preserve">- Paragraph 16: </w:t>
      </w:r>
      <w:hyperlink r:id="rId12">
        <w:r>
          <w:rPr>
            <w:color w:val="0000EE"/>
            <w:u w:val="single"/>
          </w:rPr>
          <w:t>[3]</w:t>
        </w:r>
      </w:hyperlink>
      <w:r>
        <w:t xml:space="preserve">, </w:t>
      </w:r>
      <w:hyperlink r:id="rId13">
        <w:r>
          <w:rPr>
            <w:color w:val="0000EE"/>
            <w:u w:val="single"/>
          </w:rPr>
          <w:t>[6]</w:t>
        </w:r>
      </w:hyperlink>
      <w:r>
        <w:t xml:space="preserve">- Paragraph 17: </w:t>
      </w:r>
      <w:hyperlink r:id="rId14">
        <w:r>
          <w:rPr>
            <w:color w:val="0000EE"/>
            <w:u w:val="single"/>
          </w:rPr>
          <w:t>[5]</w:t>
        </w:r>
      </w:hyperlink>
      <w:r>
        <w:t xml:space="preserve">, </w:t>
      </w:r>
      <w:hyperlink r:id="rId15">
        <w:r>
          <w:rPr>
            <w:color w:val="0000EE"/>
            <w:u w:val="single"/>
          </w:rPr>
          <w:t>[7]</w:t>
        </w:r>
      </w:hyperlink>
      <w:r>
        <w:t xml:space="preserve">- Paragraph 18: </w:t>
      </w:r>
      <w:hyperlink r:id="rId10">
        <w:r>
          <w:rPr>
            <w:color w:val="0000EE"/>
            <w:u w:val="single"/>
          </w:rPr>
          <w:t>[2]</w:t>
        </w:r>
      </w:hyperlink>
      <w:r>
        <w:t xml:space="preserve">, </w:t>
      </w:r>
      <w:hyperlink r:id="rId12">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https://www.lgbtqnation.com/2026/09/this-gay-couple-fought-for-surrogacy-coverage-won-they-now-have-2-kids-a-childrens-book/</w:t>
        </w:r>
      </w:hyperlink>
      <w:r>
        <w:t xml:space="preserve"> - Please view link - unable to able to access data</w:t>
      </w:r>
      <w:r/>
    </w:p>
    <w:p>
      <w:pPr>
        <w:pStyle w:val="ListNumber"/>
        <w:spacing w:line="240" w:lineRule="auto"/>
        <w:ind w:left="720"/>
      </w:pPr>
      <w:r/>
      <w:hyperlink r:id="rId10">
        <w:r>
          <w:rPr>
            <w:color w:val="0000EE"/>
            <w:u w:val="single"/>
          </w:rPr>
          <w:t>https://www.nvidia.com/en-us/benefits/life/lgbtq-plus/</w:t>
        </w:r>
      </w:hyperlink>
      <w:r>
        <w:t xml:space="preserve"> - NVIDIA offers comprehensive benefits to support LGBTQ+ employees and their families, including medical plans that cover same- or opposite-gender spouses and domestic partners. These plans provide 100% coverage for preventive care, prescribed medications, and fertility support, including unlimited IVF treatments with in-network professionals. Additionally, NVIDIA partners with Cigna to offer inclusive healthcare services and provides resources for gender affirmation support, such as surgery, hormone therapy, and mental health services. The company also offers family-building resources, including surrogacy and adoption benefits, with reimbursement for eligible expenses without limit.</w:t>
      </w:r>
      <w:r/>
    </w:p>
    <w:p>
      <w:pPr>
        <w:pStyle w:val="ListNumber"/>
        <w:spacing w:line="240" w:lineRule="auto"/>
        <w:ind w:left="720"/>
      </w:pPr>
      <w:r/>
      <w:hyperlink r:id="rId12">
        <w:r>
          <w:rPr>
            <w:color w:val="0000EE"/>
            <w:u w:val="single"/>
          </w:rPr>
          <w:t>https://www.grindr.com/blog/grindrs-new-employee-benefit-covers-costs-of-ivf-and-surrogacy</w:t>
        </w:r>
      </w:hyperlink>
      <w:r>
        <w:t xml:space="preserve"> - Grindr has introduced a new employee benefit covering up to $300,000 over five years for family planning journeys, including adoption, surrogacy, and fertility treatments. This initiative, powered by Carrot Fertility, aims to support LGBTQ+ employees in building their families by providing expert guidance, access to top providers, and seamless expense management, addressing the unique challenges and costs often faced by queer individuals in family-building processes.</w:t>
      </w:r>
      <w:r/>
    </w:p>
    <w:p>
      <w:pPr>
        <w:pStyle w:val="ListNumber"/>
        <w:spacing w:line="240" w:lineRule="auto"/>
        <w:ind w:left="720"/>
      </w:pPr>
      <w:r/>
      <w:hyperlink r:id="rId11">
        <w:r>
          <w:rPr>
            <w:color w:val="0000EE"/>
            <w:u w:val="single"/>
          </w:rPr>
          <w:t>https://benefits.autodesk.com/health-and-wellness/LGBTQplus-benefits-and-resources</w:t>
        </w:r>
      </w:hyperlink>
      <w:r>
        <w:t xml:space="preserve"> - Autodesk is committed to supporting LGBTQ+ employees through inclusive benefits and resources. The company offers medical plan coverage that recognises the unique healthcare needs of LGBTQ+ members, partnering with providers who treat all members with respect and dignity. Autodesk provides gender-affirmation benefits, including access to gender-affirming surgeries, hormone therapy, and mental health services. The company also offers family-building resources, such as adoption and fertility support, and has been recognised as a Best Place to Work for LGBTQ+ Equality by the Human Rights Campaign Foundation.</w:t>
      </w:r>
      <w:r/>
    </w:p>
    <w:p>
      <w:pPr>
        <w:pStyle w:val="ListNumber"/>
        <w:spacing w:line="240" w:lineRule="auto"/>
        <w:ind w:left="720"/>
      </w:pPr>
      <w:r/>
      <w:hyperlink r:id="rId14">
        <w:r>
          <w:rPr>
            <w:color w:val="0000EE"/>
            <w:u w:val="single"/>
          </w:rPr>
          <w:t>https://familybuildingco.enterprises/pathways</w:t>
        </w:r>
      </w:hyperlink>
      <w:r>
        <w:t xml:space="preserve"> - FamilyBuildingCo provides comprehensive information on third-party reproduction and inclusive family-building options, including donor eggs, donor sperm, embryo donation, reciprocal IVF, IUI, egg freezing, surrogacy, adoption, and fertility preservation. The platform maps typical coverage provided by employer benefits for each path and addresses common questions and gaps in coverage, aiming to support LGBTQIA+ individuals, single parents by choice, and anyone building a family outside a different-sex partnership in navigating their family-building journeys.</w:t>
      </w:r>
      <w:r/>
    </w:p>
    <w:p>
      <w:pPr>
        <w:pStyle w:val="ListNumber"/>
        <w:spacing w:line="240" w:lineRule="auto"/>
        <w:ind w:left="720"/>
      </w:pPr>
      <w:r/>
      <w:hyperlink r:id="rId13">
        <w:r>
          <w:rPr>
            <w:color w:val="0000EE"/>
            <w:u w:val="single"/>
          </w:rPr>
          <w:t>https://kindbody.com/tesla-benefit/</w:t>
        </w:r>
      </w:hyperlink>
      <w:r>
        <w:t xml:space="preserve"> - Kindbody offers fertility and family-building benefits to Tesla employees, including up to $25,000 per lifetime for eligible third-party reproduction services and up to $25,000 per lifetime for eligible adoption services. The benefits cover expenses unrelated to actual treatment that would be covered through major medical or fertility plans, such as donor and surrogacy services. Employees also have access to a dedicated navigation team, LGBTQ+ family-building guidance, and Kindbody’s virtual wellness services at discounted rates.</w:t>
      </w:r>
      <w:r/>
    </w:p>
    <w:p>
      <w:pPr>
        <w:pStyle w:val="ListNumber"/>
        <w:spacing w:line="240" w:lineRule="auto"/>
        <w:ind w:left="720"/>
      </w:pPr>
      <w:r/>
      <w:hyperlink r:id="rId15">
        <w:r>
          <w:rPr>
            <w:color w:val="0000EE"/>
            <w:u w:val="single"/>
          </w:rPr>
          <w:t>https://www.circlesurrogacy.com/intended-parents/who-we-help/lgbtq-parents</w:t>
        </w:r>
      </w:hyperlink>
      <w:r>
        <w:t xml:space="preserve"> - Circle Surrogacy offers financial assistance to LGBTQIA+ intended parents to help offset the costs of surrogacy. The Journey Protection™ Program provides a fixed-price program covering all agency fees, surrogate costs, legal fees, and insurance, with a $100,000 Journey Protection™ Guarantee included. Additionally, Circle Surrogacy partners with Men Having Babies to offer discounts for parents, including a pro bono agency service per year and a 30% discount for GPAP Stage I members, with an annual quota of four cases per year.</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lgbtqnation.com/2026/09/this-gay-couple-fought-for-surrogacy-coverage-won-they-now-have-2-kids-a-childrens-book/" TargetMode="External"/><Relationship Id="rId10" Type="http://schemas.openxmlformats.org/officeDocument/2006/relationships/hyperlink" Target="https://www.nvidia.com/en-us/benefits/life/lgbtq-plus/" TargetMode="External"/><Relationship Id="rId11" Type="http://schemas.openxmlformats.org/officeDocument/2006/relationships/hyperlink" Target="https://benefits.autodesk.com/health-and-wellness/LGBTQplus-benefits-and-resources" TargetMode="External"/><Relationship Id="rId12" Type="http://schemas.openxmlformats.org/officeDocument/2006/relationships/hyperlink" Target="https://www.grindr.com/blog/grindrs-new-employee-benefit-covers-costs-of-ivf-and-surrogacy" TargetMode="External"/><Relationship Id="rId13" Type="http://schemas.openxmlformats.org/officeDocument/2006/relationships/hyperlink" Target="https://kindbody.com/tesla-benefit/" TargetMode="External"/><Relationship Id="rId14" Type="http://schemas.openxmlformats.org/officeDocument/2006/relationships/hyperlink" Target="https://familybuildingco.enterprises/pathways" TargetMode="External"/><Relationship Id="rId15" Type="http://schemas.openxmlformats.org/officeDocument/2006/relationships/hyperlink" Target="https://www.circlesurrogacy.com/intended-parents/who-we-help/lgbtq-parent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