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 Rights Crackdown Sparks Fierce Family Policy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Opposition politician Selma Gürkan has criticised Turkey’s “Ailem Güvende” operations, arguing that the campaign against LGBTİ organisations distracts from poverty, child safety and insecure work. The dispute follows reported legal action involving 162 people, nine associations and 13 businesses across 15 provinces.</w:t>
      </w:r>
      <w:r/>
    </w:p>
    <w:p>
      <w:pPr>
        <w:pStyle w:val="Heading2"/>
      </w:pPr>
      <w:r>
        <w:t>Essential Takeaways</w:t>
      </w:r>
      <w:r/>
      <w:r/>
    </w:p>
    <w:p>
      <w:pPr>
        <w:pStyle w:val="ListBullet"/>
        <w:spacing w:line="240" w:lineRule="auto"/>
        <w:ind w:left="720"/>
      </w:pPr>
      <w:r/>
      <w:r>
        <w:rPr>
          <w:b/>
        </w:rPr>
        <w:t>162 people affected:</w:t>
      </w:r>
      <w:r>
        <w:t xml:space="preserve"> Turkey’s Justice Ministry said legal action was taken against 162 suspects.</w:t>
      </w:r>
      <w:r/>
    </w:p>
    <w:p>
      <w:pPr>
        <w:pStyle w:val="ListBullet"/>
        <w:spacing w:line="240" w:lineRule="auto"/>
        <w:ind w:left="720"/>
      </w:pPr>
      <w:r/>
      <w:r>
        <w:rPr>
          <w:b/>
        </w:rPr>
        <w:t>Organisations targeted:</w:t>
      </w:r>
      <w:r>
        <w:t xml:space="preserve"> Nine associations and 13 businesses were also subject to proceedings.</w:t>
      </w:r>
      <w:r/>
    </w:p>
    <w:p>
      <w:pPr>
        <w:pStyle w:val="ListBullet"/>
        <w:spacing w:line="240" w:lineRule="auto"/>
        <w:ind w:left="720"/>
      </w:pPr>
      <w:r/>
      <w:r>
        <w:rPr>
          <w:b/>
        </w:rPr>
        <w:t>Government framing:</w:t>
      </w:r>
      <w:r>
        <w:t xml:space="preserve"> Officials presented the operation as a measure to protect children, young people and families.</w:t>
      </w:r>
      <w:r/>
    </w:p>
    <w:p>
      <w:pPr>
        <w:pStyle w:val="ListBullet"/>
        <w:spacing w:line="240" w:lineRule="auto"/>
        <w:ind w:left="720"/>
      </w:pPr>
      <w:r/>
      <w:r>
        <w:rPr>
          <w:b/>
        </w:rPr>
        <w:t>Opposition response:</w:t>
      </w:r>
      <w:r>
        <w:t xml:space="preserve"> EMEP argues that poverty, unsafe employment and institutional abuse pose more serious risks to children.</w:t>
      </w:r>
      <w:r/>
    </w:p>
    <w:p>
      <w:pPr>
        <w:pStyle w:val="ListBullet"/>
        <w:spacing w:line="240" w:lineRule="auto"/>
        <w:ind w:left="720"/>
      </w:pPr>
      <w:r/>
      <w:r>
        <w:rPr>
          <w:b/>
        </w:rPr>
        <w:t>Wider dispute:</w:t>
      </w:r>
      <w:r>
        <w:t xml:space="preserve"> The argument reflects a growing clash over LGBT rights, family values and foreign funding in Turkey.</w:t>
      </w:r>
      <w:r/>
      <w:r/>
    </w:p>
    <w:p>
      <w:pPr>
        <w:pStyle w:val="Heading2"/>
      </w:pPr>
      <w:r>
        <w:t>A nationwide operation becomes a political flashpoint</w:t>
      </w:r>
      <w:r/>
    </w:p>
    <w:p>
      <w:r/>
      <w:r>
        <w:t>Turkey’s latest LGBTİ crackdown has quickly moved beyond police action and into a much broader argument about what genuinely keeps families safe. The “Ailem Güvende”, or “My Family Is Safe”, operation reportedly involved activity in 15 provinces, with legal proceedings opened against 162 people.</w:t>
      </w:r>
      <w:r/>
    </w:p>
    <w:p>
      <w:r/>
      <w:r>
        <w:t>The Justice Ministry said the campaign was aimed at groups considered to threaten children, young people and families. That framing gives the operation a protective gloss, but critics say it treats LGBTİ organisations as a convenient political target rather than addressing the difficult realities facing many households. Turkish media reports described action against nine associations and 13 businesses.</w:t>
      </w:r>
      <w:r/>
    </w:p>
    <w:p>
      <w:r/>
      <w:r>
        <w:t>For families already feeling the pressure of rising costs and uncertain work, the language of protection can sound reassuring. The question is whether it leads to practical safeguards, or simply sharper political division.</w:t>
      </w:r>
      <w:r/>
    </w:p>
    <w:p>
      <w:pPr>
        <w:pStyle w:val="Heading2"/>
      </w:pPr>
      <w:r>
        <w:t>What officials say about protecting children</w:t>
      </w:r>
      <w:r/>
    </w:p>
    <w:p>
      <w:r/>
      <w:r>
        <w:t>Justice Minister Akın Gürlek has defended the authorities’ position by saying that no criminal organisation targeting families or children should be tolerated. The ministry’s announcement placed the operation within a wider public-order and child-protection framework.</w:t>
      </w:r>
      <w:r/>
    </w:p>
    <w:p>
      <w:r/>
      <w:r>
        <w:t>That message is likely to resonate with voters who want stronger action against exploitation and abuse. Yet the available reports do not establish that all of the organisations or businesses involved committed the same offence, and legal proceedings are not the same as convictions. That distinction matters, particularly when a large number of people are publicly associated with a politically charged investigation.</w:t>
      </w:r>
      <w:r/>
    </w:p>
    <w:p>
      <w:r/>
      <w:r>
        <w:t>The operation also follows reports of earlier raids involving LGBTİ venues and groups. According to Turkish coverage, the campaign has therefore become part of a continuing pattern rather than an isolated enforcement action.</w:t>
      </w:r>
      <w:r/>
    </w:p>
    <w:p>
      <w:pPr>
        <w:pStyle w:val="Heading2"/>
      </w:pPr>
      <w:r>
        <w:t>Opposition says poverty is the real family emergency</w:t>
      </w:r>
      <w:r/>
    </w:p>
    <w:p>
      <w:r/>
      <w:r>
        <w:t>Selma Gürkan, deputy leader of the Labour Party of Turkey, has rejected the government’s explanation. She argues that children are endangered by poverty, unsafe work and failures in care and protection, rather than by LGBTİ rights organisations.</w:t>
      </w:r>
      <w:r/>
    </w:p>
    <w:p>
      <w:r/>
      <w:r>
        <w:t>Her criticism points to the Mesleki Eğitim Merkezleri, or MESEM vocational education scheme, where students can combine training with workplace experience. Gürkan says vulnerable young people can be pushed into dangerous industrial settings, while children placed with religious foundations or communities may face violence and abuse. Related reporting has highlighted the political force of these claims, although each allegation requires separate investigation.</w:t>
      </w:r>
      <w:r/>
    </w:p>
    <w:p>
      <w:r/>
      <w:r>
        <w:t>Gürkan also referred to the disappearance of an 11-month-old baby, saying the case illustrated the gap between official family rhetoric and the everyday realities of child protection. It’s a powerful political comparison, but missing-child cases and institutional safeguarding failures should be handled through verified evidence, not used as proof of guilt by association.</w:t>
      </w:r>
      <w:r/>
    </w:p>
    <w:p>
      <w:pPr>
        <w:pStyle w:val="Heading2"/>
      </w:pPr>
      <w:r>
        <w:t>Foreign funding adds another layer</w:t>
      </w:r>
      <w:r/>
    </w:p>
    <w:p>
      <w:r/>
      <w:r>
        <w:t>The dispute has also turned towards money from abroad. Government-aligned rhetoric has portrayed LGBTİ organisations receiving European or American support as foreign-backed actors, while Gürkan argues that similar scrutiny should be applied to religious foundations receiving international grants.</w:t>
      </w:r>
      <w:r/>
    </w:p>
    <w:p>
      <w:r/>
      <w:r>
        <w:t>She specifically mentioned TÜGVA, TÜRGEV and Ensar Vakfı, alleging that some had received European Union funding. Those claims have become part of a wider political contest over transparency, influence and who gets to define a legitimate family organisation.</w:t>
      </w:r>
      <w:r/>
    </w:p>
    <w:p>
      <w:r/>
      <w:r>
        <w:t>Funding alone doesn’t demonstrate wrongdoing. The sensible test is whether grants are disclosed properly, spent lawfully and linked to clearly stated programmes. That standard should apply consistently, regardless of whether an organisation supports LGBT rights, religious education or social services.</w:t>
      </w:r>
      <w:r/>
    </w:p>
    <w:p>
      <w:pPr>
        <w:pStyle w:val="Heading2"/>
      </w:pPr>
      <w:r>
        <w:t>Why the argument matters beyond this operation</w:t>
      </w:r>
      <w:r/>
    </w:p>
    <w:p>
      <w:r/>
      <w:r>
        <w:t>The row exposes a familiar tension in modern politics: governments often present cultural campaigns as child-protection measures, while opponents argue that deeper economic and institutional failures are being ignored. In Turkey, that tension is particularly visible because LGBTİ rights, family policy and foreign influence have become tightly intertwined.</w:t>
      </w:r>
      <w:r/>
    </w:p>
    <w:p>
      <w:r/>
      <w:r>
        <w:t>For readers trying to follow the story, the most important distinction is between allegations, administrative action and proven criminal conduct. The reported figures show the scale of the operation, but they don’t by themselves answer whether the measures are proportionate or whether they improve children’s safety.</w:t>
      </w:r>
      <w:r/>
    </w:p>
    <w:p>
      <w:r/>
      <w:r>
        <w:t>That assessment will depend on court outcomes, transparent evidence and the treatment of everyone involved. Families deserve protection, but they also deserve policies that address unsafe workplaces, poverty and abuse directly.</w:t>
      </w:r>
      <w:r/>
    </w:p>
    <w:p>
      <w:r/>
      <w:r>
        <w:t>The real test of family protection is whether children are safer when the headlines fade.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[2]</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w:t>
      </w:r>
      <w:hyperlink r:id="rId15">
        <w:r>
          <w:rPr>
            <w:color w:val="0000EE"/>
            <w:u w:val="single"/>
          </w:rPr>
          <w:t>[6]</w:t>
        </w:r>
      </w:hyperlink>
      <w:r>
        <w:t xml:space="preserve">- Paragraph 5: </w:t>
      </w:r>
      <w:hyperlink r:id="rId11">
        <w:r>
          <w:rPr>
            <w:color w:val="0000EE"/>
            <w:u w:val="single"/>
          </w:rPr>
          <w:t>[5]</w:t>
        </w:r>
      </w:hyperlink>
      <w:r>
        <w:t xml:space="preserve">, </w:t>
      </w:r>
      <w:hyperlink r:id="rId13">
        <w:r>
          <w:rPr>
            <w:color w:val="0000EE"/>
            <w:u w:val="single"/>
          </w:rPr>
          <w:t>[7]</w:t>
        </w:r>
      </w:hyperlink>
      <w:r>
        <w:t xml:space="preserve">- Paragraph 6: </w:t>
      </w:r>
      <w:hyperlink r:id="rId14">
        <w:r>
          <w:rPr>
            <w:color w:val="0000EE"/>
            <w:u w:val="single"/>
          </w:rPr>
          <w:t>[2]</w:t>
        </w:r>
      </w:hyperlink>
      <w:r>
        <w:t xml:space="preserve">, </w:t>
      </w:r>
      <w:hyperlink r:id="rId13">
        <w:r>
          <w:rPr>
            <w:color w:val="0000EE"/>
            <w:u w:val="single"/>
          </w:rPr>
          <w:t>[7]</w:t>
        </w:r>
      </w:hyperlink>
      <w:r>
        <w:t xml:space="preserve">- Paragraph 7: </w:t>
      </w:r>
      <w:hyperlink r:id="rId10">
        <w:r>
          <w:rPr>
            <w:color w:val="0000EE"/>
            <w:u w:val="single"/>
          </w:rPr>
          <w:t>[3]</w:t>
        </w:r>
      </w:hyperlink>
      <w:r>
        <w:t xml:space="preserve">, </w:t>
      </w:r>
      <w:hyperlink r:id="rId15">
        <w:r>
          <w:rPr>
            <w:color w:val="0000EE"/>
            <w:u w:val="single"/>
          </w:rPr>
          <w:t>[6]</w:t>
        </w:r>
      </w:hyperlink>
      <w:r>
        <w:t xml:space="preserve">- Paragraph 8: </w:t>
      </w:r>
      <w:hyperlink r:id="rId11">
        <w:r>
          <w:rPr>
            <w:color w:val="0000EE"/>
            <w:u w:val="single"/>
          </w:rPr>
          <w:t>[5]</w:t>
        </w:r>
      </w:hyperlink>
      <w:r>
        <w:t xml:space="preserve">, </w:t>
      </w:r>
      <w:hyperlink r:id="rId13">
        <w:r>
          <w:rPr>
            <w:color w:val="0000EE"/>
            <w:u w:val="single"/>
          </w:rPr>
          <w:t>[7]</w:t>
        </w:r>
      </w:hyperlink>
      <w:r>
        <w:t xml:space="preserve">- Paragraph 9: </w:t>
      </w:r>
      <w:hyperlink r:id="rId14">
        <w:r>
          <w:rPr>
            <w:color w:val="0000EE"/>
            <w:u w:val="single"/>
          </w:rPr>
          <w:t>[2]</w:t>
        </w:r>
      </w:hyperlink>
      <w:r>
        <w:t xml:space="preserve">, </w:t>
      </w:r>
      <w:hyperlink r:id="rId10">
        <w:r>
          <w:rPr>
            <w:color w:val="0000EE"/>
            <w:u w:val="single"/>
          </w:rPr>
          <w:t>[3]</w:t>
        </w:r>
      </w:hyperlink>
      <w:r>
        <w:t xml:space="preserve">- Paragraph 10: </w:t>
      </w:r>
      <w:hyperlink r:id="rId12">
        <w:r>
          <w:rPr>
            <w:color w:val="0000EE"/>
            <w:u w:val="single"/>
          </w:rPr>
          <w:t>[4]</w:t>
        </w:r>
      </w:hyperlink>
      <w:r>
        <w:t xml:space="preserve">, </w:t>
      </w:r>
      <w:hyperlink r:id="rId11">
        <w:r>
          <w:rPr>
            <w:color w:val="0000EE"/>
            <w:u w:val="single"/>
          </w:rPr>
          <w:t>[5]</w:t>
        </w:r>
      </w:hyperlink>
      <w:r>
        <w:t xml:space="preserve">- Paragraph 11: </w:t>
      </w:r>
      <w:hyperlink r:id="rId10">
        <w:r>
          <w:rPr>
            <w:color w:val="0000EE"/>
            <w:u w:val="single"/>
          </w:rPr>
          <w:t>[3]</w:t>
        </w:r>
      </w:hyperlink>
      <w:r>
        <w:t xml:space="preserve">, </w:t>
      </w:r>
      <w:hyperlink r:id="rId15">
        <w:r>
          <w:rPr>
            <w:color w:val="0000EE"/>
            <w:u w:val="single"/>
          </w:rPr>
          <w:t>[6]</w:t>
        </w:r>
      </w:hyperlink>
      <w:r>
        <w:t xml:space="preserve">- Paragraph 12: </w:t>
      </w:r>
      <w:hyperlink r:id="rId11">
        <w:r>
          <w:rPr>
            <w:color w:val="0000EE"/>
            <w:u w:val="single"/>
          </w:rPr>
          <w:t>[5]</w:t>
        </w:r>
      </w:hyperlink>
      <w:r>
        <w:t xml:space="preserve">, </w:t>
      </w:r>
      <w:hyperlink r:id="rId13">
        <w:r>
          <w:rPr>
            <w:color w:val="0000EE"/>
            <w:u w:val="single"/>
          </w:rPr>
          <w:t>[7]</w:t>
        </w:r>
      </w:hyperlink>
      <w:r>
        <w:t xml:space="preserve">- Paragraph 13: </w:t>
      </w:r>
      <w:hyperlink r:id="rId14">
        <w:r>
          <w:rPr>
            <w:color w:val="0000EE"/>
            <w:u w:val="single"/>
          </w:rPr>
          <w:t>[2]</w:t>
        </w:r>
      </w:hyperlink>
      <w:r>
        <w:t xml:space="preserve">, </w:t>
      </w:r>
      <w:hyperlink r:id="rId10">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[7]</w:t>
        </w:r>
      </w:hyperlink>
      <w:r>
        <w:t xml:space="preserve">- Paragraph 15: </w:t>
      </w:r>
      <w:hyperlink r:id="rId10">
        <w:r>
          <w:rPr>
            <w:color w:val="0000EE"/>
            <w:u w:val="single"/>
          </w:rPr>
          <w:t>[3]</w:t>
        </w:r>
      </w:hyperlink>
      <w:r>
        <w:t xml:space="preserve">, </w:t>
      </w:r>
      <w:hyperlink r:id="rId11">
        <w:r>
          <w:rPr>
            <w:color w:val="0000EE"/>
            <w:u w:val="single"/>
          </w:rPr>
          <w:t>[5]</w:t>
        </w:r>
      </w:hyperlink>
      <w:r>
        <w:t xml:space="preserve">- Paragraph 16: </w:t>
      </w:r>
      <w:hyperlink r:id="rId14">
        <w:r>
          <w:rPr>
            <w:color w:val="0000EE"/>
            <w:u w:val="single"/>
          </w:rPr>
          <w:t>[2]</w:t>
        </w:r>
      </w:hyperlink>
      <w:r>
        <w:t xml:space="preserve">, </w:t>
      </w:r>
      <w:hyperlink r:id="rId15">
        <w:r>
          <w:rPr>
            <w:color w:val="0000EE"/>
            <w:u w:val="single"/>
          </w:rPr>
          <w:t>[6]</w:t>
        </w:r>
      </w:hyperlink>
      <w:r>
        <w:t xml:space="preserve">- Paragraph 17: </w:t>
      </w:r>
      <w:hyperlink r:id="rId10">
        <w:r>
          <w:rPr>
            <w:color w:val="0000EE"/>
            <w:u w:val="single"/>
          </w:rPr>
          <w:t>[3]</w:t>
        </w:r>
      </w:hyperlink>
      <w:r>
        <w:t xml:space="preserve">, </w:t>
      </w:r>
      <w:hyperlink r:id="rId13">
        <w:r>
          <w:rPr>
            <w:color w:val="0000EE"/>
            <w:u w:val="single"/>
          </w:rPr>
          <w:t>[7]</w:t>
        </w:r>
      </w:hyperlink>
      <w:r>
        <w:t xml:space="preserve">- Paragraph 18: </w:t>
      </w:r>
      <w:hyperlink r:id="rId14">
        <w:r>
          <w:rPr>
            <w:color w:val="0000EE"/>
            <w:u w:val="single"/>
          </w:rPr>
          <w:t>[2]</w:t>
        </w:r>
      </w:hyperlink>
      <w:r>
        <w:t xml:space="preserve">, </w:t>
      </w:r>
      <w:hyperlink r:id="rId11">
        <w:r>
          <w:rPr>
            <w:color w:val="0000EE"/>
            <w:u w:val="single"/>
          </w:rPr>
          <w:t>[5]</w:t>
        </w:r>
      </w:hyperlink>
      <w:r>
        <w:t xml:space="preserve">- Paragraph 19: </w:t>
      </w:r>
      <w:hyperlink r:id="rId10">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https://www.sondakika.com/guncel/haber-emep-li-gurkan-cocuklari-tehdit-eden-lgbti-orgutle-20235843/</w:t>
        </w:r>
      </w:hyperlink>
      <w:r>
        <w:t xml:space="preserve"> - Please view link - unable to able to access data</w:t>
      </w:r>
      <w:r/>
    </w:p>
    <w:p>
      <w:pPr>
        <w:pStyle w:val="ListNumber"/>
        <w:spacing w:line="240" w:lineRule="auto"/>
        <w:ind w:left="720"/>
      </w:pPr>
      <w:r/>
      <w:hyperlink r:id="rId14">
        <w:r>
          <w:rPr>
            <w:color w:val="0000EE"/>
            <w:u w:val="single"/>
          </w:rPr>
          <w:t>https://apnews.com/article/c782f5318613126fe072d29133e6bf5d</w:t>
        </w:r>
      </w:hyperlink>
      <w:r>
        <w:t xml:space="preserve"> - Turkish authorities have intensified their crackdown on LGBTQ+ and HIV support groups, conducting coordinated raids in major cities including Istanbul, Ankara, and Izmir. Justice Minister Akin Gurlek announced the investigation involves 162 suspects, nine associations, and 13 businesses, aiming to protect children and family values. Critics argue that these actions are politically motivated, seeking to suppress diversity and civil society under the guise of maintaining public order. The governing Justice and Development Party has previously intensified anti-LGBTQ+ rhetoric, including the ban on Istanbul Pride since 2015 and the recent denial of docking rights to an LGBTQ+ cruise ship. Despite the legal decriminalisation of homosexuality in the Ottoman era, contemporary Turkey continues to witness significant discrimination against LGBTQ+ individuals.</w:t>
      </w:r>
      <w:r/>
    </w:p>
    <w:p>
      <w:pPr>
        <w:pStyle w:val="ListNumber"/>
        <w:spacing w:line="240" w:lineRule="auto"/>
        <w:ind w:left="720"/>
      </w:pPr>
      <w:r/>
      <w:hyperlink r:id="rId10">
        <w:r>
          <w:rPr>
            <w:color w:val="0000EE"/>
            <w:u w:val="single"/>
          </w:rPr>
          <w:t>https://www.adalet.gov.tr/bakan-gurlek-cocuklarimizi-genclerimizi-ve-ailelerimizi-hedef-alan-hicbir-suc-yapilanmasina-musam</w:t>
        </w:r>
      </w:hyperlink>
      <w:r>
        <w:t xml:space="preserve"> - Justice Minister Akin Gurlek announced that in the 'Ailem Güvende' operations, 162 suspects, nine associations, and 13 businesses have been subjected to legal action. The operations, coordinated by the Chief Public Prosecutor's Offices in Istanbul, Ankara, Izmir, Aydin, and Mersin, aim to protect children, youth, and families from any criminal organisations, abuse networks, or illegal activities targeting them. The investigations focus on issues such as prostitution, obscene content, and the exposure of children to such content, as well as foreign funding received by certain associations.</w:t>
      </w:r>
      <w:r/>
    </w:p>
    <w:p>
      <w:pPr>
        <w:pStyle w:val="ListNumber"/>
        <w:spacing w:line="240" w:lineRule="auto"/>
        <w:ind w:left="720"/>
      </w:pPr>
      <w:r/>
      <w:hyperlink r:id="rId12">
        <w:r>
          <w:rPr>
            <w:color w:val="0000EE"/>
            <w:u w:val="single"/>
          </w:rPr>
          <w:t>https://www.gunestv.com/zenne-arif-gozaltinda-15-ilde-lgbti-dernekleri-ve-mekanlarina-ailem-guvende-operasyonu</w:t>
        </w:r>
      </w:hyperlink>
      <w:r>
        <w:t xml:space="preserve"> - In the 'Ailem Güvende' operations, which spanned 15 provinces, legal actions were initiated against LGBTQ+ associations and venues. Justice Minister Akin Gurlek stated that 162 individuals, nine associations, and 13 businesses were targeted. Notably, Arif Saçlı, known as 'Zenne Arif', was detained in Izmir. The operations aimed to address issues such as prostitution, obscene content, and the exposure of children to such content, as well as foreign funding received by certain associations.</w:t>
      </w:r>
      <w:r/>
    </w:p>
    <w:p>
      <w:pPr>
        <w:pStyle w:val="ListNumber"/>
        <w:spacing w:line="240" w:lineRule="auto"/>
        <w:ind w:left="720"/>
      </w:pPr>
      <w:r/>
      <w:hyperlink r:id="rId11">
        <w:r>
          <w:rPr>
            <w:color w:val="0000EE"/>
            <w:u w:val="single"/>
          </w:rPr>
          <w:t>https://www.bitlishaber13.net/ailem-guvende-operasyonunda-162-supheli-9-dernek-ve-13-isletme</w:t>
        </w:r>
      </w:hyperlink>
      <w:r>
        <w:t xml:space="preserve"> - Justice Minister Akin Gurlek announced that in the 'Ailem Güvende' operations, 162 suspects, nine associations, and 13 businesses were subjected to legal action. The operations, coordinated by the Chief Public Prosecutor's Offices in Istanbul, Ankara, Izmir, Aydin, and Mersin, aim to protect children, youth, and families from any criminal organisations, abuse networks, or illegal activities targeting them. The investigations focus on issues such as prostitution, obscene content, and the exposure of children to such content, as well as foreign funding received by certain associations.</w:t>
      </w:r>
      <w:r/>
    </w:p>
    <w:p>
      <w:pPr>
        <w:pStyle w:val="ListNumber"/>
        <w:spacing w:line="240" w:lineRule="auto"/>
        <w:ind w:left="720"/>
      </w:pPr>
      <w:r/>
      <w:hyperlink r:id="rId15">
        <w:r>
          <w:rPr>
            <w:color w:val="0000EE"/>
            <w:u w:val="single"/>
          </w:rPr>
          <w:t>https://www.afyonturkeligazetesi.com/adalet-bakani-gurlek-duyurdu-ailem-guvende-operasyonlarinda-162-supheliye-adli-islem/143631</w:t>
        </w:r>
      </w:hyperlink>
      <w:r>
        <w:t xml:space="preserve"> - Justice Minister Akin Gurlek announced that in the 'Ailem Güvende' operations, 162 suspects, nine associations, and 13 businesses were subjected to legal action. The operations, coordinated by the Chief Public Prosecutor's Offices in Istanbul, Ankara, Izmir, Aydin, and Mersin, aim to protect children, youth, and families from any criminal organisations, abuse networks, or illegal activities targeting them. The investigations focus on issues such as prostitution, obscene content, and the exposure of children to such content, as well as foreign funding received by certain associations.</w:t>
      </w:r>
      <w:r/>
    </w:p>
    <w:p>
      <w:pPr>
        <w:pStyle w:val="ListNumber"/>
        <w:spacing w:line="240" w:lineRule="auto"/>
        <w:ind w:left="720"/>
      </w:pPr>
      <w:r/>
      <w:hyperlink r:id="rId13">
        <w:r>
          <w:rPr>
            <w:color w:val="0000EE"/>
            <w:u w:val="single"/>
          </w:rPr>
          <w:t>https://www.indyturk.com/node/782410/haber/15-ilde-ailem-g%C3%BCvende-operasyonu-162-ki%C5%9Fiye-adli-i%C5%9Flem-yap%C4%B1ld%C4%B1</w:t>
        </w:r>
      </w:hyperlink>
      <w:r>
        <w:t xml:space="preserve"> - Justice Minister Akin Gurlek announced that in the 'Ailem Güvende' operations, 162 suspects, nine associations, and 13 businesses were subjected to legal action. The operations, coordinated by the Chief Public Prosecutor's Offices in Istanbul, Ankara, Izmir, Aydin, and Mersin, aim to protect children, youth, and families from any criminal organisations, abuse networks, or illegal activities targeting them. The investigations focus on issues such as prostitution, obscene content, and the exposure of children to such content, as well as foreign funding received by certain associations.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guncel/haber-emep-li-gurkan-cocuklari-tehdit-eden-lgbti-orgutle-20235843/" TargetMode="External"/><Relationship Id="rId10" Type="http://schemas.openxmlformats.org/officeDocument/2006/relationships/hyperlink" Target="https://www.adalet.gov.tr/bakan-gurlek-cocuklarimizi-genclerimizi-ve-ailelerimizi-hedef-alan-hicbir-suc-yapilanmasina-musam" TargetMode="External"/><Relationship Id="rId11" Type="http://schemas.openxmlformats.org/officeDocument/2006/relationships/hyperlink" Target="https://www.bitlishaber13.net/ailem-guvende-operasyonunda-162-supheli-9-dernek-ve-13-isletme" TargetMode="External"/><Relationship Id="rId12" Type="http://schemas.openxmlformats.org/officeDocument/2006/relationships/hyperlink" Target="https://www.gunestv.com/zenne-arif-gozaltinda-15-ilde-lgbti-dernekleri-ve-mekanlarina-ailem-guvende-operasyonu" TargetMode="External"/><Relationship Id="rId13" Type="http://schemas.openxmlformats.org/officeDocument/2006/relationships/hyperlink" Target="https://www.indyturk.com/node/782410/haber/15-ilde-ailem-g%C3%BCvende-operasyonu-162-ki%C5%9Fiye-adli-i%C5%9Flem-yap%C4%B1ld%C4%B1" TargetMode="External"/><Relationship Id="rId14" Type="http://schemas.openxmlformats.org/officeDocument/2006/relationships/hyperlink" Target="https://apnews.com/article/c782f5318613126fe072d29133e6bf5d" TargetMode="External"/><Relationship Id="rId15" Type="http://schemas.openxmlformats.org/officeDocument/2006/relationships/hyperlink" Target="https://www.afyonturkeligazetesi.com/adalet-bakani-gurlek-duyurdu-ailem-guvende-operasyonlarinda-162-supheliye-adli-islem/1436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