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drug harm report exposes gaps in chemsex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London survey suggests that LGBTQ+ people are carrying a heavy, often hidden burden of drug-related harm, from bereavement to non-fatal overdoses. The findings matter because they show how different substances create different risks, while the language used by services may not always match the words people use for themselves.</w:t>
      </w:r>
      <w:r/>
    </w:p>
    <w:p>
      <w:pPr>
        <w:pStyle w:val="Heading2"/>
      </w:pPr>
      <w:r>
        <w:t>The scale of loss is difficult to ignore</w:t>
      </w:r>
      <w:r/>
    </w:p>
    <w:p>
      <w:r/>
      <w:r>
        <w:t xml:space="preserve">More than one in four LGBTQ+ respondents who had used recreational drugs recently said they'd lost a loved one to a drug-related death in the past five years. The proportion was higher in Lambeth, Southwark and Lewisham, where around one in three reported such a loss, according to coverage of the community-led research by LGBTQ Nation. </w:t>
      </w:r>
      <w:hyperlink r:id="rId9">
        <w:r>
          <w:rPr>
            <w:color w:val="0000EE"/>
            <w:u w:val="single"/>
          </w:rPr>
          <w:t>[2]</w:t>
        </w:r>
      </w:hyperlink>
      <w:r/>
    </w:p>
    <w:p>
      <w:r/>
      <w:r>
        <w:t xml:space="preserve">That figure is stark, but it needs careful handling. The survey was self-selected and largely made up of gay, cisgender men, and white respondents, so it doesn't represent every LGBTQ+ person in London. Even so, it offers a vivid snapshot of how drug-related harm can ripple through friendship groups, partners and chosen families. </w:t>
      </w:r>
      <w:hyperlink r:id="rId9">
        <w:r>
          <w:rPr>
            <w:color w:val="0000EE"/>
            <w:u w:val="single"/>
          </w:rPr>
          <w:t>[2]</w:t>
        </w:r>
      </w:hyperlink>
      <w:r/>
    </w:p>
    <w:p>
      <w:r/>
      <w:r>
        <w:t xml:space="preserve">National research also points to the importance of looking beyond headline death rates. Peer-reviewed studies indexed by PubMed have examined substance use and health risks among LGBTQ+ populations, underlining how social stigma, isolation and unequal access to care can shape outcomes. </w:t>
      </w:r>
      <w:hyperlink r:id="rId10">
        <w:r>
          <w:rPr>
            <w:color w:val="0000EE"/>
            <w:u w:val="single"/>
          </w:rPr>
          <w:t>[3]</w:t>
        </w:r>
      </w:hyperlink>
      <w:r>
        <w:t xml:space="preserve">, </w:t>
      </w:r>
      <w:hyperlink r:id="rId11">
        <w:r>
          <w:rPr>
            <w:color w:val="0000EE"/>
            <w:u w:val="single"/>
          </w:rPr>
          <w:t>[4]</w:t>
        </w:r>
      </w:hyperlink>
      <w:r/>
    </w:p>
    <w:p>
      <w:pPr>
        <w:pStyle w:val="Heading2"/>
      </w:pPr>
      <w:r>
        <w:t>GHB, crystal meth and mephedrone carry different risks</w:t>
      </w:r>
      <w:r/>
    </w:p>
    <w:p>
      <w:r/>
      <w:r>
        <w:t xml:space="preserve">The report's clearest message is that so-called chemsex drugs shouldn't be treated as one neat category. People using GHB or GBL, crystal meth or mephedrone were far more likely to describe their drug use as harmful than respondents using other substances, but the pattern of risk varied sharply between them. </w:t>
      </w:r>
      <w:hyperlink r:id="rId12">
        <w:r>
          <w:rPr>
            <w:color w:val="0000EE"/>
            <w:u w:val="single"/>
          </w:rPr>
          <w:t>[7]</w:t>
        </w:r>
      </w:hyperlink>
      <w:r/>
    </w:p>
    <w:p>
      <w:r/>
      <w:r>
        <w:t xml:space="preserve">GHB and GBL stood out for the frequency of involuntary sleep or loss of consciousness. Around two thirds of users reported passing out or falling asleep unexpectedly, episodes the report classifies as overdoses. That doesn't make the danger feel any less frightening simply because some people survive it; repeated emergencies can become normalised in a social scene where everyone is trying to keep the night moving. </w:t>
      </w:r>
      <w:hyperlink r:id="rId12">
        <w:r>
          <w:rPr>
            <w:color w:val="0000EE"/>
            <w:u w:val="single"/>
          </w:rPr>
          <w:t>[7]</w:t>
        </w:r>
      </w:hyperlink>
      <w:r/>
    </w:p>
    <w:p>
      <w:r/>
      <w:r>
        <w:t xml:space="preserve">Crystal meth showed the highest overall concern. Nearly three in five users reported at least some worry, one in five called their use a major problem, and many said they used it alone at home. Mephedrone appeared less harmful by comparison, but that shouldn't be mistaken for safe: a substantial minority still expressed concern, while its use was more often reported in clubs and bars. </w:t>
      </w:r>
      <w:hyperlink r:id="rId12">
        <w:r>
          <w:rPr>
            <w:color w:val="0000EE"/>
            <w:u w:val="single"/>
          </w:rPr>
          <w:t>[7]</w:t>
        </w:r>
      </w:hyperlink>
      <w:r/>
    </w:p>
    <w:p>
      <w:pPr>
        <w:pStyle w:val="Heading2"/>
      </w:pPr>
      <w:r>
        <w:t>Why the word "chemsex" may not reach everyone</w:t>
      </w:r>
      <w:r/>
    </w:p>
    <w:p>
      <w:r/>
      <w:r>
        <w:t xml:space="preserve">Language can be a practical barrier, not just a matter of labels. Almost a third of people using the three substances said they wouldn't always describe their experience as chemsex, while those who saw their use as a serious problem were much more likely to use the term. </w:t>
      </w:r>
      <w:hyperlink r:id="rId12">
        <w:r>
          <w:rPr>
            <w:color w:val="0000EE"/>
            <w:u w:val="single"/>
          </w:rPr>
          <w:t>[7]</w:t>
        </w:r>
      </w:hyperlink>
      <w:r/>
    </w:p>
    <w:p>
      <w:r/>
      <w:r>
        <w:t>That matters if support services rely on one keyword in outreach, referral forms or online searches. Someone may recognise a problem with GHB, meth or mephedrone without identifying with the wider chemsex label, particularly if their use happens alone, outside sexual settings, or in a different social group.</w:t>
      </w:r>
      <w:r/>
    </w:p>
    <w:p>
      <w:r/>
      <w:r>
        <w:t xml:space="preserve">London Friend's specialist work reflects the value of services that understand both substance use and LGBTQ+ lives. A more flexible approach could ask what someone is taking, where, with whom and how it affects them, rather than expecting them to choose the "right" label first. </w:t>
      </w:r>
      <w:hyperlink r:id="rId12">
        <w:r>
          <w:rPr>
            <w:color w:val="0000EE"/>
            <w:u w:val="single"/>
          </w:rPr>
          <w:t>[7]</w:t>
        </w:r>
      </w:hyperlink>
      <w:r/>
    </w:p>
    <w:p>
      <w:pPr>
        <w:pStyle w:val="Heading2"/>
      </w:pPr>
      <w:r>
        <w:t>London needs targeted, practical harm reduction</w:t>
      </w:r>
      <w:r/>
    </w:p>
    <w:p>
      <w:r/>
      <w:r>
        <w:t xml:space="preserve">The wider policy picture is already under pressure. London Assembly material has highlighted the need to reduce drug deaths through better prevention, treatment and coordination, while official statistics requests show continued interest in tracking drug-related deaths across the capital. </w:t>
      </w:r>
      <w:hyperlink r:id="rId13">
        <w:r>
          <w:rPr>
            <w:color w:val="0000EE"/>
            <w:u w:val="single"/>
          </w:rPr>
          <w:t>[5]</w:t>
        </w:r>
      </w:hyperlink>
      <w:r>
        <w:t xml:space="preserve">, </w:t>
      </w:r>
      <w:hyperlink r:id="rId14">
        <w:r>
          <w:rPr>
            <w:color w:val="0000EE"/>
            <w:u w:val="single"/>
          </w:rPr>
          <w:t>[6]</w:t>
        </w:r>
      </w:hyperlink>
      <w:r/>
    </w:p>
    <w:p>
      <w:r/>
      <w:r>
        <w:t>For anyone worried about their own use or a friend's, the most useful first step is usually specific and non-judgemental support. Tell a trusted person what you're taking, avoid using alone where possible, seek advice from an LGBTQ+-affirming drug service, and treat loss of consciousness, breathing problems or an inability to wake someone as an emergency.</w:t>
      </w:r>
      <w:r/>
    </w:p>
    <w:p>
      <w:r/>
      <w:r>
        <w:t xml:space="preserve">The findings also point to a need for more tailored information. GHB and GBL require a different conversation from crystal meth, and neither should be folded into a vague warning about "party drugs". Clearer advice is more likely to be heard when it reflects the real texture of people's lives, including sex, friendship, loneliness and nightlife. </w:t>
      </w:r>
      <w:hyperlink r:id="rId13">
        <w:r>
          <w:rPr>
            <w:color w:val="0000EE"/>
            <w:u w:val="single"/>
          </w:rPr>
          <w:t>[5]</w:t>
        </w:r>
      </w:hyperlink>
      <w:r>
        <w:t xml:space="preserve">, </w:t>
      </w:r>
      <w:hyperlink r:id="rId12">
        <w:r>
          <w:rPr>
            <w:color w:val="0000EE"/>
            <w:u w:val="single"/>
          </w:rPr>
          <w:t>[7]</w:t>
        </w:r>
      </w:hyperlink>
      <w:r/>
    </w:p>
    <w:p>
      <w:pPr>
        <w:pStyle w:val="Heading2"/>
      </w:pPr>
      <w:r>
        <w:t>A warning sign, not a verdict on LGBTQ+ communities</w:t>
      </w:r>
      <w:r/>
    </w:p>
    <w:p>
      <w:r/>
      <w:r>
        <w:t>It would be easy to read the figures as a story about a community in crisis. A better reading is that they reveal where services, language and public-health messaging aren't yet working well enough.</w:t>
      </w:r>
      <w:r/>
    </w:p>
    <w:p>
      <w:r/>
      <w:r>
        <w:t xml:space="preserve">The research gives campaigners and clinicians a useful starting point, but its limits matter too. More inclusive studies are needed across gender identities, ethnicities, ages and regions, so that support isn't designed around one dominant experience. </w:t>
      </w:r>
      <w:hyperlink r:id="rId10">
        <w:r>
          <w:rPr>
            <w:color w:val="0000EE"/>
            <w:u w:val="single"/>
          </w:rPr>
          <w:t>[3]</w:t>
        </w:r>
      </w:hyperlink>
      <w:r>
        <w:t xml:space="preserve">, </w:t>
      </w:r>
      <w:hyperlink r:id="rId11">
        <w:r>
          <w:rPr>
            <w:color w:val="0000EE"/>
            <w:u w:val="single"/>
          </w:rPr>
          <w:t>[4]</w:t>
        </w:r>
      </w:hyperlink>
      <w:r/>
    </w:p>
    <w:p>
      <w:r/>
      <w:r>
        <w:t>For now, the strongest takeaway is simple: drug-related harm isn't interchangeable, and neither are the people experiencing it. Support works best when it meets people where they are, without making them translate their lives into a label first.</w:t>
      </w:r>
      <w:r/>
    </w:p>
    <w:p>
      <w:r/>
      <w:r>
        <w:t>Small, specific conversations can make a safer night and a better route to help.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[7]</w:t>
        </w:r>
      </w:hyperlink>
      <w:r>
        <w:t xml:space="preserve">- Paragraph 5: </w:t>
      </w:r>
      <w:hyperlink r:id="rId12">
        <w:r>
          <w:rPr>
            <w:color w:val="0000EE"/>
            <w:u w:val="single"/>
          </w:rPr>
          <w:t>[7]</w:t>
        </w:r>
      </w:hyperlink>
      <w:r>
        <w:t xml:space="preserve">- Paragraph 6: </w:t>
      </w:r>
      <w:hyperlink r:id="rId12">
        <w:r>
          <w:rPr>
            <w:color w:val="0000EE"/>
            <w:u w:val="single"/>
          </w:rPr>
          <w:t>[7]</w:t>
        </w:r>
      </w:hyperlink>
      <w:r>
        <w:t xml:space="preserve">- Paragraph 7: </w:t>
      </w:r>
      <w:hyperlink r:id="rId12">
        <w:r>
          <w:rPr>
            <w:color w:val="0000EE"/>
            <w:u w:val="single"/>
          </w:rPr>
          <w:t>[7]</w:t>
        </w:r>
      </w:hyperlink>
      <w:r>
        <w:t xml:space="preserve">- Paragraph 8: </w:t>
      </w:r>
      <w:hyperlink r:id="rId12">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3">
        <w:r>
          <w:rPr>
            <w:color w:val="0000EE"/>
            <w:u w:val="single"/>
          </w:rPr>
          <w:t>[5]</w:t>
        </w:r>
      </w:hyperlink>
      <w:r>
        <w:t xml:space="preserve">, </w:t>
      </w:r>
      <w:hyperlink r:id="rId12">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13">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https://www.attitude.co.uk/news/one-in-four-lgbtq-people-lost-loved-one-drugs-534010/</w:t>
        </w:r>
      </w:hyperlink>
      <w:r>
        <w:t xml:space="preserve"> - Please view link - unable to able to access data</w:t>
      </w:r>
      <w:r/>
    </w:p>
    <w:p>
      <w:pPr>
        <w:pStyle w:val="ListNumber"/>
        <w:spacing w:line="240" w:lineRule="auto"/>
        <w:ind w:left="720"/>
      </w:pPr>
      <w:r/>
      <w:hyperlink r:id="rId9">
        <w:r>
          <w:rPr>
            <w:color w:val="0000EE"/>
            <w:u w:val="single"/>
          </w:rPr>
          <w:t>https://www.lgbtqnation.com/2026/01/deeply-concerning-study-shows-lgbt-peoples-higher-rates-of-drug-alcohol-deaths/</w:t>
        </w:r>
      </w:hyperlink>
      <w:r>
        <w:t xml:space="preserve"> - A study analysing death statistics in England and Wales reveals that individuals identifying as lesbian, gay, bisexual, or other sexual orientations (LGB+) have significantly higher rates of suicide and drug-related deaths compared to their heterosexual counterparts. The risk of death due to drug poisoning is 2.8 times higher among LGB+ individuals, with females facing a 3.5 times higher risk and males a 2.4 times higher risk. The leading causes of death for LGB+ people include ischaemic heart diseases, intentional self-harm, and accidental poisoning.</w:t>
      </w:r>
      <w:r/>
    </w:p>
    <w:p>
      <w:pPr>
        <w:pStyle w:val="ListNumber"/>
        <w:spacing w:line="240" w:lineRule="auto"/>
        <w:ind w:left="720"/>
      </w:pPr>
      <w:r/>
      <w:hyperlink r:id="rId10">
        <w:r>
          <w:rPr>
            <w:color w:val="0000EE"/>
            <w:u w:val="single"/>
          </w:rPr>
          <w:t>https://pubmed.ncbi.nlm.nih.gov/40974252/</w:t>
        </w:r>
      </w:hyperlink>
      <w:r>
        <w:t xml:space="preserve"> - A retrospective cohort study examining coronial records in the UK from 1997 to 2024 identifies 83 drug-related deaths among individuals identified as LGBTQ+. The majority of decedents were cisgender men (55.4%) and trans women (37.3%). The study highlights the need for targeted harm reduction strategies and further research into the specific circumstances and substances involved in these deaths.</w:t>
      </w:r>
      <w:r/>
    </w:p>
    <w:p>
      <w:pPr>
        <w:pStyle w:val="ListNumber"/>
        <w:spacing w:line="240" w:lineRule="auto"/>
        <w:ind w:left="720"/>
      </w:pPr>
      <w:r/>
      <w:hyperlink r:id="rId11">
        <w:r>
          <w:rPr>
            <w:color w:val="0000EE"/>
            <w:u w:val="single"/>
          </w:rPr>
          <w:t>https://pubmed.ncbi.nlm.nih.gov/41794013/</w:t>
        </w:r>
      </w:hyperlink>
      <w:r>
        <w:t xml:space="preserve"> - This article discusses the exclusion of LGBTQ+ individuals from the UK's response to alcohol and drug-related deaths. It highlights the lack of tailored support services for this community and calls for the development of inclusive harm reduction strategies to address the unique needs of LGBTQ+ individuals affected by substance use and related fatalities.</w:t>
      </w:r>
      <w:r/>
    </w:p>
    <w:p>
      <w:pPr>
        <w:pStyle w:val="ListNumber"/>
        <w:spacing w:line="240" w:lineRule="auto"/>
        <w:ind w:left="720"/>
      </w:pPr>
      <w:r/>
      <w:hyperlink r:id="rId13">
        <w:r>
          <w:rPr>
            <w:color w:val="0000EE"/>
            <w:u w:val="single"/>
          </w:rPr>
          <w:t>https://www.london.gov.uk/who-we-are/what-london-assembly-does/questions-mayor/find-an-answer/progress-reducing-drug-deaths-london-drugs-commission-report</w:t>
        </w:r>
      </w:hyperlink>
      <w:r>
        <w:t xml:space="preserve"> - In response to a question about progress on reducing drug deaths since the publication of the London Drugs Commission report in May 2025, the Mayor of London acknowledged the increase in drug-poisoning deaths in London, rising from 58.1 deaths per million in 2023 to 76.5 deaths per million in 2024. The Mayor committed to ongoing efforts to address this issue, including the implementation of recommendations from the London Drugs Commission report.</w:t>
      </w:r>
      <w:r/>
    </w:p>
    <w:p>
      <w:pPr>
        <w:pStyle w:val="ListNumber"/>
        <w:spacing w:line="240" w:lineRule="auto"/>
        <w:ind w:left="720"/>
      </w:pPr>
      <w:r/>
      <w:hyperlink r:id="rId14">
        <w:r>
          <w:rPr>
            <w:color w:val="0000EE"/>
            <w:u w:val="single"/>
          </w:rPr>
          <w:t>https://www.ons.gov.uk/aboutus/transparencyandgovernance/freedomofinformationfoi/drugrelateddeathsinlondonbetween2019and2024</w:t>
        </w:r>
      </w:hyperlink>
      <w:r>
        <w:t xml:space="preserve"> - The Office for National Statistics (ONS) provides statistical data on drug-related deaths in London between 2019 and 2024. The data includes breakdowns by age group and location type, as well as substance categorisation data, including deaths related to GHB/GBL, stimulants, and polysubstance use involving alcohol and stimulants. This information is crucial for understanding the trends and demographics associated with drug-related fatalities in the region.</w:t>
      </w:r>
      <w:r/>
    </w:p>
    <w:p>
      <w:pPr>
        <w:pStyle w:val="ListNumber"/>
        <w:spacing w:line="240" w:lineRule="auto"/>
        <w:ind w:left="720"/>
      </w:pPr>
      <w:r/>
      <w:hyperlink r:id="rId12">
        <w:r>
          <w:rPr>
            <w:color w:val="0000EE"/>
            <w:u w:val="single"/>
          </w:rPr>
          <w:t>https://londonfriend.org.uk/chemsexreport2026/</w:t>
        </w:r>
      </w:hyperlink>
      <w:r>
        <w:t xml:space="preserve"> - London Friend and LGBT HERO conducted a survey of 334 LGBTQ+ individuals who use substances, focusing on chemsex practices. The report reveals that mental health is the primary concern associated with chemsex among LGBTQ+ people. Additionally, four in ten LGBTQ+ Londoners who use drugs have never sought support, and half are unaware of chemsex-specific support services. The report highlights the need for improved support services and addresses the stigma and shame that act as barriers to accessing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1/deeply-concerning-study-shows-lgbt-peoples-higher-rates-of-drug-alcohol-deaths/" TargetMode="External"/><Relationship Id="rId10" Type="http://schemas.openxmlformats.org/officeDocument/2006/relationships/hyperlink" Target="https://pubmed.ncbi.nlm.nih.gov/40974252/" TargetMode="External"/><Relationship Id="rId11" Type="http://schemas.openxmlformats.org/officeDocument/2006/relationships/hyperlink" Target="https://pubmed.ncbi.nlm.nih.gov/41794013/" TargetMode="External"/><Relationship Id="rId12" Type="http://schemas.openxmlformats.org/officeDocument/2006/relationships/hyperlink" Target="https://londonfriend.org.uk/chemsexreport2026/" TargetMode="External"/><Relationship Id="rId13" Type="http://schemas.openxmlformats.org/officeDocument/2006/relationships/hyperlink" Target="https://www.london.gov.uk/who-we-are/what-london-assembly-does/questions-mayor/find-an-answer/progress-reducing-drug-deaths-london-drugs-commission-report" TargetMode="External"/><Relationship Id="rId14" Type="http://schemas.openxmlformats.org/officeDocument/2006/relationships/hyperlink" Target="https://www.ons.gov.uk/aboutus/transparencyandgovernance/freedomofinformationfoi/drugrelateddeathsinlondonbetween2019and2024" TargetMode="External"/><Relationship Id="rId15" Type="http://schemas.openxmlformats.org/officeDocument/2006/relationships/hyperlink" Target="https://www.attitude.co.uk/news/one-in-four-lgbtq-people-lost-loved-one-drugs-5340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