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LGBT+ rights crackdown in Turkey draws calls for detainees’ release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Campaigners and opposition figures in Turkey are calling for the immediate release of LGBT+ activists detained in a recent security operation, warning that the arrests and online restrictions threaten freedom of association, equality and public safety. The dispute has also reopened a wider argument over whose security the state is protecting.</w:t>
      </w:r>
      <w:r/>
    </w:p>
    <w:p>
      <w:pPr>
        <w:pStyle w:val="Heading2"/>
      </w:pPr>
      <w:r>
        <w:t>Essential Takeaways</w:t>
      </w:r>
      <w:r/>
      <w:r/>
    </w:p>
    <w:p>
      <w:pPr>
        <w:pStyle w:val="ListBullet"/>
        <w:spacing w:line="240" w:lineRule="auto"/>
        <w:ind w:left="720"/>
      </w:pPr>
      <w:r/>
      <w:r>
        <w:rPr>
          <w:b/>
        </w:rPr>
        <w:t>Immediate release urged:</w:t>
      </w:r>
      <w:r>
        <w:t xml:space="preserve"> DEM Party figures called for detained and arrested people to be freed.</w:t>
      </w:r>
      <w:r/>
    </w:p>
    <w:p>
      <w:pPr>
        <w:pStyle w:val="ListBullet"/>
        <w:spacing w:line="240" w:lineRule="auto"/>
        <w:ind w:left="720"/>
      </w:pPr>
      <w:r/>
      <w:r>
        <w:rPr>
          <w:b/>
        </w:rPr>
        <w:t>Activist groups targeted:</w:t>
      </w:r>
      <w:r>
        <w:t xml:space="preserve"> Reports linked the operation to raids involving LGBT+ organisations and campaigners.</w:t>
      </w:r>
      <w:r/>
    </w:p>
    <w:p>
      <w:pPr>
        <w:pStyle w:val="ListBullet"/>
        <w:spacing w:line="240" w:lineRule="auto"/>
        <w:ind w:left="720"/>
      </w:pPr>
      <w:r/>
      <w:r>
        <w:rPr>
          <w:b/>
        </w:rPr>
        <w:t>Online access restricted:</w:t>
      </w:r>
      <w:r>
        <w:t xml:space="preserve"> Several LGBT+ group websites and social media accounts were reportedly blocked or limited.</w:t>
      </w:r>
      <w:r/>
    </w:p>
    <w:p>
      <w:pPr>
        <w:pStyle w:val="ListBullet"/>
        <w:spacing w:line="240" w:lineRule="auto"/>
        <w:ind w:left="720"/>
      </w:pPr>
      <w:r/>
      <w:r>
        <w:rPr>
          <w:b/>
        </w:rPr>
        <w:t>A wider rights concern:</w:t>
      </w:r>
      <w:r>
        <w:t xml:space="preserve"> Critics say treating LGBT+ people as a threat can fuel discrimination and hate crimes.</w:t>
      </w:r>
      <w:r/>
    </w:p>
    <w:p>
      <w:pPr>
        <w:pStyle w:val="ListBullet"/>
        <w:spacing w:line="240" w:lineRule="auto"/>
        <w:ind w:left="720"/>
      </w:pPr>
      <w:r/>
      <w:r>
        <w:rPr>
          <w:b/>
        </w:rPr>
        <w:t>The central question:</w:t>
      </w:r>
      <w:r>
        <w:t xml:space="preserve"> Campaigners argue that protecting families must not come at the expense of LGBT+ citizens’ safety.</w:t>
      </w:r>
      <w:r/>
      <w:r/>
    </w:p>
    <w:p>
      <w:pPr>
        <w:pStyle w:val="Heading2"/>
      </w:pPr>
      <w:r>
        <w:t>Calls for release grow after arrests</w:t>
      </w:r>
      <w:r/>
    </w:p>
    <w:p>
      <w:r/>
      <w:r>
        <w:t>The latest row centres on the detention of LGBT+ activists and supporters in Turkey, with opposition politicians describing the action as an attack on democratic participation. According to reports from Son Dakika, DEM Party co-chair Tülay Hatimoğulları called for those detained or jailed to be released immediately.</w:t>
      </w:r>
      <w:r/>
    </w:p>
    <w:p>
      <w:r/>
      <w:r>
        <w:t xml:space="preserve">Her message was blunt: LGBT+ people are part of society and public life, not an enemy to be contained. That distinction matters because raids, arrests and official rhetoric can quickly turn a political dispute into a climate of fear for ordinary families. Reports on the operation said dozens of people were detained in Istanbul, while separate coverage described a raid on Kaos GL involving more than 10 activists. </w:t>
      </w:r>
      <w:hyperlink r:id="rId9">
        <w:r>
          <w:rPr>
            <w:color w:val="0000EE"/>
            <w:u w:val="single"/>
          </w:rPr>
          <w:t>[2]</w:t>
        </w:r>
      </w:hyperlink>
      <w:r>
        <w:t xml:space="preserve">, </w:t>
      </w:r>
      <w:hyperlink r:id="rId10">
        <w:r>
          <w:rPr>
            <w:color w:val="0000EE"/>
            <w:u w:val="single"/>
          </w:rPr>
          <w:t>[5]</w:t>
        </w:r>
      </w:hyperlink>
      <w:r>
        <w:t xml:space="preserve">, </w:t>
      </w:r>
      <w:hyperlink r:id="rId11">
        <w:r>
          <w:rPr>
            <w:color w:val="0000EE"/>
            <w:u w:val="single"/>
          </w:rPr>
          <w:t>[6]</w:t>
        </w:r>
      </w:hyperlink>
      <w:r/>
    </w:p>
    <w:p>
      <w:pPr>
        <w:pStyle w:val="Heading2"/>
      </w:pPr>
      <w:r>
        <w:t>What is behind the “family safety” dispute?</w:t>
      </w:r>
      <w:r/>
    </w:p>
    <w:p>
      <w:r/>
      <w:r>
        <w:t>The operation appears to have been linked to a wider campaign framed around family protection. That language has emotional force, but campaigners say it can become dangerously selective when it implies that one family’s security depends on excluding another group.</w:t>
      </w:r>
      <w:r/>
    </w:p>
    <w:p>
      <w:r/>
      <w:r>
        <w:t xml:space="preserve">Hatimoğulları argued that a household cannot truly be safe if an LGBT+ child is made a target in the name of protecting families. The argument echoed a joint statement by women’s organisations, which questioned whether anyone is safe when LGBT+ people are portrayed as a social threat. </w:t>
      </w:r>
      <w:hyperlink r:id="rId9">
        <w:r>
          <w:rPr>
            <w:color w:val="0000EE"/>
            <w:u w:val="single"/>
          </w:rPr>
          <w:t>[2]</w:t>
        </w:r>
      </w:hyperlink>
      <w:r>
        <w:t xml:space="preserve">, </w:t>
      </w:r>
      <w:hyperlink r:id="rId12">
        <w:r>
          <w:rPr>
            <w:color w:val="0000EE"/>
            <w:u w:val="single"/>
          </w:rPr>
          <w:t>[4]</w:t>
        </w:r>
      </w:hyperlink>
      <w:r/>
    </w:p>
    <w:p>
      <w:r/>
      <w:r>
        <w:t>For many readers, this is the uncomfortable heart of the issue. “Family” sounds reassuring, even cosy, but the word can be used very differently depending on who gets included. Rights groups say public policy should protect every household, rather than decide which identities deserve protection.</w:t>
      </w:r>
      <w:r/>
    </w:p>
    <w:p>
      <w:pPr>
        <w:pStyle w:val="Heading2"/>
      </w:pPr>
      <w:r>
        <w:t>Digital restrictions add to the pressure</w:t>
      </w:r>
      <w:r/>
    </w:p>
    <w:p>
      <w:r/>
      <w:r>
        <w:t>The arrests were accompanied by reports that websites and social media accounts belonging to LGBT+ organisations had become inaccessible. Such restrictions can have an immediate practical effect, cutting people off from legal information, community support, event updates and safety advice.</w:t>
      </w:r>
      <w:r/>
    </w:p>
    <w:p>
      <w:r/>
      <w:r>
        <w:t xml:space="preserve">That makes online access more than a technical matter. For smaller organisations, a website or social media page may be the main way volunteers reach people who are isolated or worried about seeking help in person. Coverage of the restrictions described LGBT+ group platforms as blocked or limited, adding a digital dimension to the wider crackdown. </w:t>
      </w:r>
      <w:hyperlink r:id="rId13">
        <w:r>
          <w:rPr>
            <w:color w:val="0000EE"/>
            <w:u w:val="single"/>
          </w:rPr>
          <w:t>[3]</w:t>
        </w:r>
      </w:hyperlink>
      <w:r>
        <w:t xml:space="preserve">, </w:t>
      </w:r>
      <w:hyperlink r:id="rId10">
        <w:r>
          <w:rPr>
            <w:color w:val="0000EE"/>
            <w:u w:val="single"/>
          </w:rPr>
          <w:t>[5]</w:t>
        </w:r>
      </w:hyperlink>
      <w:r/>
    </w:p>
    <w:p>
      <w:r/>
      <w:r>
        <w:t>There is also a chilling effect. Even people who haven't been arrested may think twice before attending a meeting, sharing a post or donating to an organisation if they fear being monitored or punished.</w:t>
      </w:r>
      <w:r/>
    </w:p>
    <w:p>
      <w:pPr>
        <w:pStyle w:val="Heading2"/>
      </w:pPr>
      <w:r>
        <w:t>Why the arrests matter beyond LGBT+ organisations</w:t>
      </w:r>
      <w:r/>
    </w:p>
    <w:p>
      <w:r/>
      <w:r>
        <w:t xml:space="preserve">Opposition voices have described the detentions as an effort to criminalise LGBT+ organising and intimidate human rights defenders. EMEP MP Sevda Karaca also criticised the operation, according to reports, while Hatimoğulları linked the case to broader concerns over democracy and civil liberties. </w:t>
      </w:r>
      <w:hyperlink r:id="rId12">
        <w:r>
          <w:rPr>
            <w:color w:val="0000EE"/>
            <w:u w:val="single"/>
          </w:rPr>
          <w:t>[4]</w:t>
        </w:r>
      </w:hyperlink>
      <w:r>
        <w:t xml:space="preserve">, </w:t>
      </w:r>
      <w:hyperlink r:id="rId14">
        <w:r>
          <w:rPr>
            <w:color w:val="0000EE"/>
            <w:u w:val="single"/>
          </w:rPr>
          <w:t>[7]</w:t>
        </w:r>
      </w:hyperlink>
      <w:r/>
    </w:p>
    <w:p>
      <w:r/>
      <w:r>
        <w:t>That concern extends beyond one community. Freedom of association protects the ability to meet, campaign, provide services and challenge authorities. When those activities are treated as suspicious simply because they support LGBT+ people, other civil society groups may reasonably wonder whether they could be next.</w:t>
      </w:r>
      <w:r/>
    </w:p>
    <w:p>
      <w:r/>
      <w:r>
        <w:t>The practical consequences are personal as well as political. People may lose access to counselling, legal advice or emergency support, while families can become more reluctant to seek help. A quiet office raid can therefore create a much louder public warning: keep your head down.</w:t>
      </w:r>
      <w:r/>
    </w:p>
    <w:p>
      <w:pPr>
        <w:pStyle w:val="Heading2"/>
      </w:pPr>
      <w:r>
        <w:t>What happens next?</w:t>
      </w:r>
      <w:r/>
    </w:p>
    <w:p>
      <w:r/>
      <w:r>
        <w:t>The immediate focus is likely to remain on the legal status of those detained and whether further arrests or prosecutions follow. Campaigners are also calling for pressure on authorities to end restrictions affecting LGBT+ organisations and to stop portraying rights groups as a security problem.</w:t>
      </w:r>
      <w:r/>
    </w:p>
    <w:p>
      <w:r/>
      <w:r>
        <w:t>For readers trying to understand the story, the key distinction is between legitimate public safety measures and actions that suppress peaceful association. Authorities have a responsibility to investigate genuine crimes, but critics say that responsibility shouldn't be used to silence lawful advocacy or stigmatise an entire community.</w:t>
      </w:r>
      <w:r/>
    </w:p>
    <w:p>
      <w:r/>
      <w:r>
        <w:t>The next stage will show whether this becomes a short-lived security operation or part of a longer campaign against LGBT+ visibility and organising. Either way, the debate has already moved beyond one set of arrests. It is now about whether safety is something shared by everyone, or reserved for those who fit an official idea of family.</w:t>
      </w:r>
      <w:r/>
    </w:p>
    <w:p>
      <w:r/>
      <w:r>
        <w:t>It's a small question in wording, but a huge one in real life: who gets to feel safe?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1">
        <w:r>
          <w:rPr>
            <w:color w:val="0000EE"/>
            <w:u w:val="single"/>
          </w:rPr>
          <w:t>[6]</w:t>
        </w:r>
      </w:hyperlink>
      <w:r>
        <w:t xml:space="preserve">- Paragraph 2: </w:t>
      </w:r>
      <w:hyperlink r:id="rId10">
        <w:r>
          <w:rPr>
            <w:color w:val="0000EE"/>
            <w:u w:val="single"/>
          </w:rPr>
          <w:t>[5]</w:t>
        </w:r>
      </w:hyperlink>
      <w:r>
        <w:t xml:space="preserve">, </w:t>
      </w:r>
      <w:hyperlink r:id="rId11">
        <w:r>
          <w:rPr>
            <w:color w:val="0000EE"/>
            <w:u w:val="single"/>
          </w:rPr>
          <w:t>[6]</w:t>
        </w:r>
      </w:hyperlink>
      <w:r>
        <w:t xml:space="preserve">- Paragraph 3: </w:t>
      </w:r>
      <w:hyperlink r:id="rId9">
        <w:r>
          <w:rPr>
            <w:color w:val="0000EE"/>
            <w:u w:val="single"/>
          </w:rPr>
          <w:t>[2]</w:t>
        </w:r>
      </w:hyperlink>
      <w:r>
        <w:t xml:space="preserve">, </w:t>
      </w:r>
      <w:hyperlink r:id="rId12">
        <w:r>
          <w:rPr>
            <w:color w:val="0000EE"/>
            <w:u w:val="single"/>
          </w:rPr>
          <w:t>[4]</w:t>
        </w:r>
      </w:hyperlink>
      <w:r>
        <w:t xml:space="preserve">- Paragraph 4: </w:t>
      </w:r>
      <w:hyperlink r:id="rId13">
        <w:r>
          <w:rPr>
            <w:color w:val="0000EE"/>
            <w:u w:val="single"/>
          </w:rPr>
          <w:t>[3]</w:t>
        </w:r>
      </w:hyperlink>
      <w:r>
        <w:t xml:space="preserve">, </w:t>
      </w:r>
      <w:hyperlink r:id="rId10">
        <w:r>
          <w:rPr>
            <w:color w:val="0000EE"/>
            <w:u w:val="single"/>
          </w:rPr>
          <w:t>[5]</w:t>
        </w:r>
      </w:hyperlink>
      <w:r>
        <w:t xml:space="preserve">- Paragraph 5: </w:t>
      </w:r>
      <w:hyperlink r:id="rId12">
        <w:r>
          <w:rPr>
            <w:color w:val="0000EE"/>
            <w:u w:val="single"/>
          </w:rPr>
          <w:t>[4]</w:t>
        </w:r>
      </w:hyperlink>
      <w:r>
        <w:t xml:space="preserve">, </w:t>
      </w:r>
      <w:hyperlink r:id="rId14">
        <w:r>
          <w:rPr>
            <w:color w:val="0000EE"/>
            <w:u w:val="single"/>
          </w:rPr>
          <w:t>[7]</w:t>
        </w:r>
      </w:hyperlink>
      <w:r>
        <w:t xml:space="preserve">- Paragraph 6: </w:t>
      </w:r>
      <w:hyperlink r:id="rId13">
        <w:r>
          <w:rPr>
            <w:color w:val="0000EE"/>
            <w:u w:val="single"/>
          </w:rPr>
          <w:t>[3]</w:t>
        </w:r>
      </w:hyperlink>
      <w:r>
        <w:t xml:space="preserve">, </w:t>
      </w:r>
      <w:hyperlink r:id="rId11">
        <w:r>
          <w:rPr>
            <w:color w:val="0000EE"/>
            <w:u w:val="single"/>
          </w:rPr>
          <w:t>[6]</w:t>
        </w:r>
      </w:hyperlink>
      <w:r>
        <w:t xml:space="preserve">- Paragraph 7: </w:t>
      </w:r>
      <w:hyperlink r:id="rId9">
        <w:r>
          <w:rPr>
            <w:color w:val="0000EE"/>
            <w:u w:val="single"/>
          </w:rPr>
          <w:t>[2]</w:t>
        </w:r>
      </w:hyperlink>
      <w:r>
        <w:t xml:space="preserve">, </w:t>
      </w:r>
      <w:hyperlink r:id="rId12">
        <w:r>
          <w:rPr>
            <w:color w:val="0000EE"/>
            <w:u w:val="single"/>
          </w:rPr>
          <w:t>[4]</w:t>
        </w:r>
      </w:hyperlink>
      <w:r>
        <w:t xml:space="preserve">- Paragraph 8: </w:t>
      </w:r>
      <w:hyperlink r:id="rId12">
        <w:r>
          <w:rPr>
            <w:color w:val="0000EE"/>
            <w:u w:val="single"/>
          </w:rPr>
          <w:t>[4]</w:t>
        </w:r>
      </w:hyperlink>
      <w:r>
        <w:t xml:space="preserve">, </w:t>
      </w:r>
      <w:hyperlink r:id="rId14">
        <w:r>
          <w:rPr>
            <w:color w:val="0000EE"/>
            <w:u w:val="single"/>
          </w:rPr>
          <w:t>[7]</w:t>
        </w:r>
      </w:hyperlink>
      <w:r>
        <w:t xml:space="preserve">- Paragraph 9: </w:t>
      </w:r>
      <w:hyperlink r:id="rId9">
        <w:r>
          <w:rPr>
            <w:color w:val="0000EE"/>
            <w:u w:val="single"/>
          </w:rPr>
          <w:t>[2]</w:t>
        </w:r>
      </w:hyperlink>
      <w:r>
        <w:t xml:space="preserve">, </w:t>
      </w:r>
      <w:hyperlink r:id="rId10">
        <w:r>
          <w:rPr>
            <w:color w:val="0000EE"/>
            <w:u w:val="single"/>
          </w:rPr>
          <w:t>[5]</w:t>
        </w:r>
      </w:hyperlink>
      <w:r>
        <w:t xml:space="preserve">- Paragraph 10: </w:t>
      </w:r>
      <w:hyperlink r:id="rId13">
        <w:r>
          <w:rPr>
            <w:color w:val="0000EE"/>
            <w:u w:val="single"/>
          </w:rPr>
          <w:t>[3]</w:t>
        </w:r>
      </w:hyperlink>
      <w:r>
        <w:t xml:space="preserve">, </w:t>
      </w:r>
      <w:hyperlink r:id="rId10">
        <w:r>
          <w:rPr>
            <w:color w:val="0000EE"/>
            <w:u w:val="single"/>
          </w:rPr>
          <w:t>[5]</w:t>
        </w:r>
      </w:hyperlink>
      <w:r>
        <w:t xml:space="preserve">- Paragraph 11: </w:t>
      </w:r>
      <w:hyperlink r:id="rId12">
        <w:r>
          <w:rPr>
            <w:color w:val="0000EE"/>
            <w:u w:val="single"/>
          </w:rPr>
          <w:t>[4]</w:t>
        </w:r>
      </w:hyperlink>
      <w:r>
        <w:t xml:space="preserve">, </w:t>
      </w:r>
      <w:hyperlink r:id="rId14">
        <w:r>
          <w:rPr>
            <w:color w:val="0000EE"/>
            <w:u w:val="single"/>
          </w:rPr>
          <w:t>[7]</w:t>
        </w:r>
      </w:hyperlink>
      <w:r>
        <w:t xml:space="preserve">- Paragraph 12: </w:t>
      </w:r>
      <w:hyperlink r:id="rId9">
        <w:r>
          <w:rPr>
            <w:color w:val="0000EE"/>
            <w:u w:val="single"/>
          </w:rPr>
          <w:t>[2]</w:t>
        </w:r>
      </w:hyperlink>
      <w:r>
        <w:t xml:space="preserve">, </w:t>
      </w:r>
      <w:hyperlink r:id="rId11">
        <w:r>
          <w:rPr>
            <w:color w:val="0000EE"/>
            <w:u w:val="single"/>
          </w:rPr>
          <w:t>[6]</w:t>
        </w:r>
      </w:hyperlink>
      <w:r>
        <w:t xml:space="preserve">- Paragraph 13: </w:t>
      </w:r>
      <w:hyperlink r:id="rId13">
        <w:r>
          <w:rPr>
            <w:color w:val="0000EE"/>
            <w:u w:val="single"/>
          </w:rPr>
          <w:t>[3]</w:t>
        </w:r>
      </w:hyperlink>
      <w:r>
        <w:t xml:space="preserve">, </w:t>
      </w:r>
      <w:hyperlink r:id="rId10">
        <w:r>
          <w:rPr>
            <w:color w:val="0000EE"/>
            <w:u w:val="single"/>
          </w:rPr>
          <w:t>[5]</w:t>
        </w:r>
      </w:hyperlink>
      <w:r>
        <w:t xml:space="preserve">- Paragraph 14: </w:t>
      </w:r>
      <w:hyperlink r:id="rId9">
        <w:r>
          <w:rPr>
            <w:color w:val="0000EE"/>
            <w:u w:val="single"/>
          </w:rPr>
          <w:t>[2]</w:t>
        </w:r>
      </w:hyperlink>
      <w:r>
        <w:t xml:space="preserve">, </w:t>
      </w:r>
      <w:hyperlink r:id="rId12">
        <w:r>
          <w:rPr>
            <w:color w:val="0000EE"/>
            <w:u w:val="single"/>
          </w:rPr>
          <w:t>[4]</w:t>
        </w:r>
      </w:hyperlink>
      <w:r>
        <w:t xml:space="preserve">- Paragraph 15: </w:t>
      </w:r>
      <w:hyperlink r:id="rId12">
        <w:r>
          <w:rPr>
            <w:color w:val="0000EE"/>
            <w:u w:val="single"/>
          </w:rPr>
          <w:t>[4]</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https://www.sondakika.com/guncel/haber-hatimogullari-ndan-lgbti-cagrisi-gozaltindakilerin-20237195/</w:t>
        </w:r>
      </w:hyperlink>
      <w:r>
        <w:t xml:space="preserve"> - Please view link - unable to able to access data</w:t>
      </w:r>
      <w:r/>
    </w:p>
    <w:p>
      <w:pPr>
        <w:pStyle w:val="ListNumber"/>
        <w:spacing w:line="240" w:lineRule="auto"/>
        <w:ind w:left="720"/>
      </w:pPr>
      <w:r/>
      <w:hyperlink r:id="rId9">
        <w:r>
          <w:rPr>
            <w:color w:val="0000EE"/>
            <w:u w:val="single"/>
          </w:rPr>
          <w:t>https://www.sondakika.com/amp/haber-dem-parti-kadin-meclisi-nden-ailem-guvende-operasy-20232901/</w:t>
        </w:r>
      </w:hyperlink>
      <w:r>
        <w:t xml:space="preserve"> - The Women's Assembly of the DEM Party has expressed strong opposition to the 'Ailem Güvende' operation, which targeted LGBTİ+ associations, human rights defenders, and digital media platforms. They stated that societal security cannot be achieved through repression and bans but through ensuring equality, freedom, justice, and the right to life. The Assembly condemned the operations involving detentions, searches, confiscations, and access restrictions, emphasizing the importance of protecting the rights and freedoms of all citizens.</w:t>
      </w:r>
      <w:r/>
    </w:p>
    <w:p>
      <w:pPr>
        <w:pStyle w:val="ListNumber"/>
        <w:spacing w:line="240" w:lineRule="auto"/>
        <w:ind w:left="720"/>
      </w:pPr>
      <w:r/>
      <w:hyperlink r:id="rId13">
        <w:r>
          <w:rPr>
            <w:color w:val="0000EE"/>
            <w:u w:val="single"/>
          </w:rPr>
          <w:t>https://www.sondakika.com/amp/haber-lgbti-orgutlerinin-siteleri-ve-hesaplari-erisime-e-20232236/</w:t>
        </w:r>
      </w:hyperlink>
      <w:r>
        <w:t xml:space="preserve"> - The websites of KaosGL Association and Velvele, along with numerous social media accounts of LGBTİ+ organizations, activists, and human rights defenders, have been blocked by the Istanbul 7th Criminal Judgeship of Peace as of September 12, 2026. The court's decision rendered 14 X (formerly Twitter) accounts inaccessible in Turkey, while access restrictions for 11 Instagram accounts have yet to be implemented. This move has raised concerns about freedom of expression and the rights of LGBTİ+ communities.</w:t>
      </w:r>
      <w:r/>
    </w:p>
    <w:p>
      <w:pPr>
        <w:pStyle w:val="ListNumber"/>
        <w:spacing w:line="240" w:lineRule="auto"/>
        <w:ind w:left="720"/>
      </w:pPr>
      <w:r/>
      <w:hyperlink r:id="rId12">
        <w:r>
          <w:rPr>
            <w:color w:val="0000EE"/>
            <w:u w:val="single"/>
          </w:rPr>
          <w:t>https://www.sondakika.com/politika/haber-hatimogullari-ndan-tutuklular-icin-serbest-birakma-19209973/</w:t>
        </w:r>
      </w:hyperlink>
      <w:r>
        <w:t xml:space="preserve"> - Tülay Hatimoğulları, Co-Chair of the People's Equality and Democracy Party (DEM Party), called for the immediate release of detainees during the opening of the party's new office in Hakkari. She specifically mentioned the detainees in the Kobani case, Selahattin Demirtaş, and Figen Yüksekdağ, urging their prompt release. Hatimoğulları emphasized the importance of democratic processes and the need for the release of political prisoners to advance peace and democratic reforms.</w:t>
      </w:r>
      <w:r/>
    </w:p>
    <w:p>
      <w:pPr>
        <w:pStyle w:val="ListNumber"/>
        <w:spacing w:line="240" w:lineRule="auto"/>
        <w:ind w:left="720"/>
      </w:pPr>
      <w:r/>
      <w:hyperlink r:id="rId10">
        <w:r>
          <w:rPr>
            <w:color w:val="0000EE"/>
            <w:u w:val="single"/>
          </w:rPr>
          <w:t>https://www.sondakika.com/amp/haber-kaos-gl-ye-baskin-10-dan-fazla-aktivist-gozaltinda-20232384/</w:t>
        </w:r>
      </w:hyperlink>
      <w:r>
        <w:t xml:space="preserve"> - Police conducted raids on the homes of management and audit board members of the Kaos GL Association, leading to the detention of over ten LGBTİ+ activists. Searches were also carried out at the association's office. The investigation, which includes charges of 'obscenity' and violations of the Associations Law, has raised concerns about the treatment of LGBTİ+ organizations and activists in Turkey.</w:t>
      </w:r>
      <w:r/>
    </w:p>
    <w:p>
      <w:pPr>
        <w:pStyle w:val="ListNumber"/>
        <w:spacing w:line="240" w:lineRule="auto"/>
        <w:ind w:left="720"/>
      </w:pPr>
      <w:r/>
      <w:hyperlink r:id="rId11">
        <w:r>
          <w:rPr>
            <w:color w:val="0000EE"/>
            <w:u w:val="single"/>
          </w:rPr>
          <w:t>https://www.sondakika.com/guncel/haber-istanbul-merkezli-ailem-guvende-operasyonunda-26-s-20232680/</w:t>
        </w:r>
      </w:hyperlink>
      <w:r>
        <w:t xml:space="preserve"> - An operation named 'Ailem Güvende' was conducted in Istanbul under the coordination of the Istanbul Chief Public Prosecutor's Office, involving six LGBTİ+ associations. As a result, 26 individuals were detained. During searches at 38 addresses, substances such as drugs, illicit alcohol, and unlicensed firearms were seized, and one establishment was sealed. The operation has sparked debates regarding its impact on the rights and freedoms of LGBTİ+ communities.</w:t>
      </w:r>
      <w:r/>
    </w:p>
    <w:p>
      <w:pPr>
        <w:pStyle w:val="ListNumber"/>
        <w:spacing w:line="240" w:lineRule="auto"/>
        <w:ind w:left="720"/>
      </w:pPr>
      <w:r/>
      <w:hyperlink r:id="rId14">
        <w:r>
          <w:rPr>
            <w:color w:val="0000EE"/>
            <w:u w:val="single"/>
          </w:rPr>
          <w:t>https://www.sondakika.com/amp/haber-emep-li-karaca-dan-lgbti-operasyonuna-tepki-gozalt-20232913/</w:t>
        </w:r>
      </w:hyperlink>
      <w:r>
        <w:t xml:space="preserve"> - Sevda Karaca, a member of the Emek Party (EMEP) and Gaziantep MP, criticized the operation targeting LGBTİ+ associations, which led to the detention of numerous representatives from various organizations. She called for the immediate release of those detained and urged an end to the harassment of LGBTİ+ organizations and the press. Karaca emphasized that defending the rights of LGBTİ+ individuals is a defense of everyone's rights and freedoms in the country.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ondakika.com/amp/haber-dem-parti-kadin-meclisi-nden-ailem-guvende-operasy-20232901/" TargetMode="External"/><Relationship Id="rId10" Type="http://schemas.openxmlformats.org/officeDocument/2006/relationships/hyperlink" Target="https://www.sondakika.com/amp/haber-kaos-gl-ye-baskin-10-dan-fazla-aktivist-gozaltinda-20232384/" TargetMode="External"/><Relationship Id="rId11" Type="http://schemas.openxmlformats.org/officeDocument/2006/relationships/hyperlink" Target="https://www.sondakika.com/guncel/haber-istanbul-merkezli-ailem-guvende-operasyonunda-26-s-20232680/" TargetMode="External"/><Relationship Id="rId12" Type="http://schemas.openxmlformats.org/officeDocument/2006/relationships/hyperlink" Target="https://www.sondakika.com/politika/haber-hatimogullari-ndan-tutuklular-icin-serbest-birakma-19209973/" TargetMode="External"/><Relationship Id="rId13" Type="http://schemas.openxmlformats.org/officeDocument/2006/relationships/hyperlink" Target="https://www.sondakika.com/amp/haber-lgbti-orgutlerinin-siteleri-ve-hesaplari-erisime-e-20232236/" TargetMode="External"/><Relationship Id="rId14" Type="http://schemas.openxmlformats.org/officeDocument/2006/relationships/hyperlink" Target="https://www.sondakika.com/amp/haber-emep-li-karaca-dan-lgbti-operasyonuna-tepki-gozalt-20232913/" TargetMode="External"/><Relationship Id="rId15" Type="http://schemas.openxmlformats.org/officeDocument/2006/relationships/hyperlink" Target="https://www.sondakika.com/guncel/haber-hatimogullari-ndan-lgbti-cagrisi-gozaltindakilerin-2023719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