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Istanbul LGBT Investigation Raises Questions Over Foreign Funding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Turkish authorities are examining six Istanbul LGBT organisations in a probe covering alleged financial, administrative and criminal offences. Reports cite millions of lira in overseas support and missing paperwork, while rights groups and international observers warn that scrutiny of LGBT organisations is unfolding amid a wider crackdown on visibility and expression.</w:t>
      </w:r>
      <w:r/>
    </w:p>
    <w:p>
      <w:pPr>
        <w:pStyle w:val="Heading2"/>
      </w:pPr>
      <w:r>
        <w:t>Essential Takeaways</w:t>
      </w:r>
      <w:r/>
      <w:r/>
    </w:p>
    <w:p>
      <w:pPr>
        <w:pStyle w:val="ListBullet"/>
        <w:spacing w:line="240" w:lineRule="auto"/>
        <w:ind w:left="720"/>
      </w:pPr>
      <w:r/>
      <w:r>
        <w:rPr>
          <w:b/>
        </w:rPr>
        <w:t>Six organisations investigated:</w:t>
      </w:r>
      <w:r>
        <w:t xml:space="preserve"> The inquiry covers Lambda Istanbul, SPoD, HEVI, LISTAG, Pozitif Yasam and Pozitif Iz.</w:t>
      </w:r>
      <w:r/>
    </w:p>
    <w:p>
      <w:pPr>
        <w:pStyle w:val="ListBullet"/>
        <w:spacing w:line="240" w:lineRule="auto"/>
        <w:ind w:left="720"/>
      </w:pPr>
      <w:r/>
      <w:r>
        <w:rPr>
          <w:b/>
        </w:rPr>
        <w:t>Millions in overseas support:</w:t>
      </w:r>
      <w:r>
        <w:t xml:space="preserve"> Official inspection records cited by Turkish media list more than 32 million Turkish lira in foreign assistance during 2025.</w:t>
      </w:r>
      <w:r/>
    </w:p>
    <w:p>
      <w:pPr>
        <w:pStyle w:val="ListBullet"/>
        <w:spacing w:line="240" w:lineRule="auto"/>
        <w:ind w:left="720"/>
      </w:pPr>
      <w:r/>
      <w:r>
        <w:rPr>
          <w:b/>
        </w:rPr>
        <w:t>Paperwork is central:</w:t>
      </w:r>
      <w:r>
        <w:t xml:space="preserve"> Inspectors reportedly flagged incomplete membership records, missing financial documents and problems with official books.</w:t>
      </w:r>
      <w:r/>
    </w:p>
    <w:p>
      <w:pPr>
        <w:pStyle w:val="ListBullet"/>
        <w:spacing w:line="240" w:lineRule="auto"/>
        <w:ind w:left="720"/>
      </w:pPr>
      <w:r/>
      <w:r>
        <w:rPr>
          <w:b/>
        </w:rPr>
        <w:t>The wider climate is tense:</w:t>
      </w:r>
      <w:r>
        <w:t xml:space="preserve"> Rights monitors have documented restrictions and proposed tougher penalties affecting LGBT people and groups.</w:t>
      </w:r>
      <w:r/>
    </w:p>
    <w:p>
      <w:pPr>
        <w:pStyle w:val="ListBullet"/>
        <w:spacing w:line="240" w:lineRule="auto"/>
        <w:ind w:left="720"/>
      </w:pPr>
      <w:r/>
      <w:r>
        <w:rPr>
          <w:b/>
        </w:rPr>
        <w:t>The figures need context:</w:t>
      </w:r>
      <w:r>
        <w:t xml:space="preserve"> Reported funding totals and alleged breaches are not, by themselves, proof of criminal conduct.</w:t>
      </w:r>
      <w:r/>
      <w:r/>
    </w:p>
    <w:p>
      <w:pPr>
        <w:pStyle w:val="Heading2"/>
      </w:pPr>
      <w:r>
        <w:t>What the Istanbul probe is examining</w:t>
      </w:r>
      <w:r/>
    </w:p>
    <w:p>
      <w:r/>
      <w:r>
        <w:t>The investigation, led by Istanbul prosecutors, reportedly concerns allegations including forming an organisation for criminal purposes, obscenity and breaches of Turkey's Associations Law. Inspectors reviewed the six groups' constitutions, activities, accounts and statutory records, according to Turkish reporting.</w:t>
      </w:r>
      <w:r/>
    </w:p>
    <w:p>
      <w:r/>
      <w:r>
        <w:t>That distinction matters. A regulatory inspection can identify administrative failings, but it doesn't automatically establish that an organisation committed a crime. Any criminal allegations would still need to be tested through Turkey's legal process, with the organisations given a chance to respond.</w:t>
      </w:r>
      <w:r/>
    </w:p>
    <w:p>
      <w:r/>
      <w:r>
        <w:t xml:space="preserve">The investigation also arrives at a politically charged moment. Associated Press reporting has described growing pressure on LGBT rights and public expression in Turkey, making even a financial audit part of a much bigger national conversation. </w:t>
      </w:r>
      <w:hyperlink r:id="rId9">
        <w:r>
          <w:rPr>
            <w:color w:val="0000EE"/>
            <w:u w:val="single"/>
          </w:rPr>
          <w:t>[2]</w:t>
        </w:r>
      </w:hyperlink>
      <w:r/>
    </w:p>
    <w:p>
      <w:pPr>
        <w:pStyle w:val="Heading2"/>
      </w:pPr>
      <w:r>
        <w:t>Foreign funding becomes the headline figure</w:t>
      </w:r>
      <w:r/>
    </w:p>
    <w:p>
      <w:r/>
      <w:r>
        <w:t>The most eye-catching number is the reported 32.1 million lira in overseas assistance recorded across the six organisations during 2025. SPoD reportedly accounted for the largest share, followed by HEVI and Pozitif Yasam, while smaller sums were attributed to Lambda Istanbul.</w:t>
      </w:r>
      <w:r/>
    </w:p>
    <w:p>
      <w:r/>
      <w:r>
        <w:t>The reports also refer to support from European institutions, diplomatic missions, United Nations bodies, charities and private-sector organisations. LISTAG's records, for example, were said to include payments linked to the European Endowment for Democracy, the Dutch foreign ministry, German diplomatic representatives and Sweden's consulate.</w:t>
      </w:r>
      <w:r/>
    </w:p>
    <w:p>
      <w:r/>
      <w:r>
        <w:t xml:space="preserve">But raw totals can look more dramatic than they really are. Exchange rates, multi-year grants, restricted project funding and one-off payments can all change how a charity's finances should be understood. The useful question isn't simply who received money, but what it was intended to fund and whether it was properly recorded. </w:t>
      </w:r>
      <w:hyperlink r:id="rId10">
        <w:r>
          <w:rPr>
            <w:color w:val="0000EE"/>
            <w:u w:val="single"/>
          </w:rPr>
          <w:t>[6]</w:t>
        </w:r>
      </w:hyperlink>
      <w:r/>
    </w:p>
    <w:p>
      <w:pPr>
        <w:pStyle w:val="Heading2"/>
      </w:pPr>
      <w:r>
        <w:t>Missing documents and duplicated books draw scrutiny</w:t>
      </w:r>
      <w:r/>
    </w:p>
    <w:p>
      <w:r/>
      <w:r>
        <w:t>According to the inspection findings reported in Turkey, some of the most serious concerns relate to bookkeeping rather than the existence of overseas grants. Pozitif Iz was reportedly unable to provide several years of financial ledgers and expense receipts, while inspectors also noted shortcomings in membership details and income documentation.</w:t>
      </w:r>
      <w:r/>
    </w:p>
    <w:p>
      <w:r/>
      <w:r>
        <w:t>Lambda Istanbul was said to have problems with its correspondence register, including a disputed lost book that later appeared alongside a replacement. Inspectors also reportedly questioned whether an unlicensed local or cultural centre was operating from the organisation's premises.</w:t>
      </w:r>
      <w:r/>
    </w:p>
    <w:p>
      <w:r/>
      <w:r>
        <w:t xml:space="preserve">Other findings were more technical, including incomplete membership dates, pasted pages in decision books and signatures appearing only on final pages. These details may sound dry, but for associations they can become costly: Turkish law requires formal records to be kept in a particular way, and failures can lead to administrative penalties or court referrals. </w:t>
      </w:r>
      <w:hyperlink r:id="rId10">
        <w:r>
          <w:rPr>
            <w:color w:val="0000EE"/>
            <w:u w:val="single"/>
          </w:rPr>
          <w:t>[6]</w:t>
        </w:r>
      </w:hyperlink>
      <w:r/>
    </w:p>
    <w:p>
      <w:pPr>
        <w:pStyle w:val="Heading2"/>
      </w:pPr>
      <w:r>
        <w:t>The investigation sits within a broader crackdown</w:t>
      </w:r>
      <w:r/>
    </w:p>
    <w:p>
      <w:r/>
      <w:r>
        <w:t>The case doesn't exist in isolation. A 2025 report on Istanbul's LGBT and trans Pride Week documented restrictions, police intervention and pressure on public events, according to Agos and Medyascope. Those reports portray a shrinking space for marches, community gatherings and public advocacy.</w:t>
      </w:r>
      <w:r/>
    </w:p>
    <w:p>
      <w:r/>
      <w:r>
        <w:t>Human Rights Watch has also warned that proposed legislation could expose LGBT people to prison sentences and widen restrictions on expression and association. The Urania Institute separately reported that Turkish authorities blocked or restricted LGBT-related accounts, adding a digital dimension to the pressure.</w:t>
      </w:r>
      <w:r/>
    </w:p>
    <w:p>
      <w:r/>
      <w:r>
        <w:t xml:space="preserve">Taken together, these developments help explain why community groups and international rights organisations are likely to view the Istanbul investigation with suspicion. Authorities may describe it as an ordinary compliance and criminal inquiry, while critics see it as part of a pattern targeting LGBT visibility. Both the legal claims and the wider political context deserve careful scrutiny. </w:t>
      </w:r>
      <w:hyperlink r:id="rId11">
        <w:r>
          <w:rPr>
            <w:color w:val="0000EE"/>
            <w:u w:val="single"/>
          </w:rPr>
          <w:t>[3]</w:t>
        </w:r>
      </w:hyperlink>
      <w:r/>
    </w:p>
    <w:p>
      <w:pPr>
        <w:pStyle w:val="Heading2"/>
      </w:pPr>
      <w:r>
        <w:t>What readers should watch next</w:t>
      </w:r>
      <w:r/>
    </w:p>
    <w:p>
      <w:r/>
      <w:r>
        <w:t>The next important developments will be procedural: whether prosecutors bring formal charges, whether the organisations publish responses, and whether courts uphold any proposed fines or referrals. Until then, reported inspection findings should be treated as allegations and administrative observations, not final judgments.</w:t>
      </w:r>
      <w:r/>
    </w:p>
    <w:p>
      <w:r/>
      <w:r>
        <w:t>For anyone trying to make sense of the story, three points are worth keeping in mind. First, foreign funding isn't inherently unlawful. Secondly, incomplete paperwork can be a genuine governance problem without proving a wider criminal conspiracy. And thirdly, the surrounding rights climate shapes how every official action is interpreted.</w:t>
      </w:r>
      <w:r/>
    </w:p>
    <w:p>
      <w:r/>
      <w:r>
        <w:t>The case could therefore become a test of more than six organisations' accounting practices. It may also show how much room remains in Turkey for LGBT groups to organise, receive support and operate openly.</w:t>
      </w:r>
      <w:r/>
    </w:p>
    <w:p>
      <w:r/>
      <w:r>
        <w:t>It's a developing legal story with consequences far beyond a set of missing documents.</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3">
        <w:r>
          <w:rPr>
            <w:color w:val="0000EE"/>
            <w:u w:val="single"/>
          </w:rPr>
          <w:t>[5]</w:t>
        </w:r>
      </w:hyperlink>
      <w:r>
        <w:t xml:space="preserve">- Paragraph 2: </w:t>
      </w:r>
      <w:hyperlink r:id="rId10">
        <w:r>
          <w:rPr>
            <w:color w:val="0000EE"/>
            <w:u w:val="single"/>
          </w:rPr>
          <w:t>[6]</w:t>
        </w:r>
      </w:hyperlink>
      <w:r>
        <w:t xml:space="preserve">, </w:t>
      </w:r>
      <w:hyperlink r:id="rId9">
        <w:r>
          <w:rPr>
            <w:color w:val="0000EE"/>
            <w:u w:val="single"/>
          </w:rPr>
          <w:t>[2]</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[6]</w:t>
        </w:r>
      </w:hyperlink>
      <w:r>
        <w:t xml:space="preserve">, </w:t>
      </w:r>
      <w:hyperlink r:id="rId11">
        <w:r>
          <w:rPr>
            <w:color w:val="0000EE"/>
            <w:u w:val="single"/>
          </w:rPr>
          <w:t>[3]</w:t>
        </w:r>
      </w:hyperlink>
      <w:r>
        <w:t xml:space="preserve">- Paragraph 5: </w:t>
      </w:r>
      <w:hyperlink r:id="rId10">
        <w:r>
          <w:rPr>
            <w:color w:val="0000EE"/>
            <w:u w:val="single"/>
          </w:rPr>
          <w:t>[6]</w:t>
        </w:r>
      </w:hyperlink>
      <w:r>
        <w:t xml:space="preserve">, </w:t>
      </w:r>
      <w:hyperlink r:id="rId9">
        <w:r>
          <w:rPr>
            <w:color w:val="0000EE"/>
            <w:u w:val="single"/>
          </w:rPr>
          <w:t>[2]</w:t>
        </w:r>
      </w:hyperlink>
      <w:r>
        <w:t xml:space="preserve">- Paragraph 6: </w:t>
      </w:r>
      <w:hyperlink r:id="rId14">
        <w:r>
          <w:rPr>
            <w:color w:val="0000EE"/>
            <w:u w:val="single"/>
          </w:rPr>
          <w:t>[4]</w:t>
        </w:r>
      </w:hyperlink>
      <w:r>
        <w:t xml:space="preserve">, </w:t>
      </w:r>
      <w:hyperlink r:id="rId15">
        <w:r>
          <w:rPr>
            <w:color w:val="0000EE"/>
            <w:u w:val="single"/>
          </w:rPr>
          <w:t>[7]</w:t>
        </w:r>
      </w:hyperlink>
      <w:r>
        <w:t xml:space="preserve">- Paragraph 7: </w:t>
      </w:r>
      <w:hyperlink r:id="rId13">
        <w:r>
          <w:rPr>
            <w:color w:val="0000EE"/>
            <w:u w:val="single"/>
          </w:rPr>
          <w:t>[5]</w:t>
        </w:r>
      </w:hyperlink>
      <w:r>
        <w:t xml:space="preserve">, </w:t>
      </w:r>
      <w:hyperlink r:id="rId11">
        <w:r>
          <w:rPr>
            <w:color w:val="0000EE"/>
            <w:u w:val="single"/>
          </w:rPr>
          <w:t>[3]</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10">
        <w:r>
          <w:rPr>
            <w:color w:val="0000EE"/>
            <w:u w:val="single"/>
          </w:rPr>
          <w:t>[6]</w:t>
        </w:r>
      </w:hyperlink>
      <w:r>
        <w:t xml:space="preserve">, </w:t>
      </w:r>
      <w:hyperlink r:id="rId13">
        <w:r>
          <w:rPr>
            <w:color w:val="0000EE"/>
            <w:u w:val="single"/>
          </w:rPr>
          <w:t>[5]</w:t>
        </w:r>
      </w:hyperlink>
      <w:r>
        <w:t xml:space="preserve">- Paragraph 10: </w:t>
      </w:r>
      <w:hyperlink r:id="rId11">
        <w:r>
          <w:rPr>
            <w:color w:val="0000EE"/>
            <w:u w:val="single"/>
          </w:rPr>
          <w:t>[3]</w:t>
        </w:r>
      </w:hyperlink>
      <w:r>
        <w:t xml:space="preserve">, </w:t>
      </w:r>
      <w:hyperlink r:id="rId14">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[6]</w:t>
        </w:r>
      </w:hyperlink>
      <w:r>
        <w:t xml:space="preserve">- Paragraph 12: </w:t>
      </w:r>
      <w:hyperlink r:id="rId13">
        <w:r>
          <w:rPr>
            <w:color w:val="0000EE"/>
            <w:u w:val="single"/>
          </w:rPr>
          <w:t>[5]</w:t>
        </w:r>
      </w:hyperlink>
      <w:r>
        <w:t xml:space="preserve">, </w:t>
      </w:r>
      <w:hyperlink r:id="rId11">
        <w:r>
          <w:rPr>
            <w:color w:val="0000EE"/>
            <w:u w:val="single"/>
          </w:rPr>
          <w:t>[3]</w:t>
        </w:r>
      </w:hyperlink>
      <w:r>
        <w:t xml:space="preserve">- Paragraph 13: </w:t>
      </w:r>
      <w:hyperlink r:id="rId14">
        <w:r>
          <w:rPr>
            <w:color w:val="0000EE"/>
            <w:u w:val="single"/>
          </w:rPr>
          <w:t>[4]</w:t>
        </w:r>
      </w:hyperlink>
      <w:r>
        <w:t xml:space="preserve">, </w:t>
      </w:r>
      <w:hyperlink r:id="rId15">
        <w:r>
          <w:rPr>
            <w:color w:val="0000EE"/>
            <w:u w:val="single"/>
          </w:rPr>
          <w:t>[7]</w:t>
        </w:r>
      </w:hyperlink>
      <w:r>
        <w:t xml:space="preserve">- Paragraph 14: </w:t>
      </w:r>
      <w:hyperlink r:id="rId9">
        <w:r>
          <w:rPr>
            <w:color w:val="0000EE"/>
            <w:u w:val="single"/>
          </w:rPr>
          <w:t>[2]</w:t>
        </w:r>
      </w:hyperlink>
      <w:r>
        <w:t xml:space="preserve">, </w:t>
      </w:r>
      <w:hyperlink r:id="rId13">
        <w:r>
          <w:rPr>
            <w:color w:val="0000EE"/>
            <w:u w:val="single"/>
          </w:rPr>
          <w:t>[5]</w:t>
        </w:r>
      </w:hyperlink>
      <w:r>
        <w:t xml:space="preserve">- Paragraph 15: </w:t>
      </w:r>
      <w:hyperlink r:id="rId11">
        <w:r>
          <w:rPr>
            <w:color w:val="0000EE"/>
            <w:u w:val="single"/>
          </w:rPr>
          <w:t>[3]</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https://www.haber7.com/guncel/haber/3659523-istanbulda-lgbt-derneklerinin-kirli-agi-32-milyonluk-fon-ve-kayip-evraklar-desifre-oldu</w:t>
        </w:r>
      </w:hyperlink>
      <w:r>
        <w:t xml:space="preserve"> - Please view link - unable to able to access data</w:t>
      </w:r>
      <w:r/>
    </w:p>
    <w:p>
      <w:pPr>
        <w:pStyle w:val="ListNumber"/>
        <w:spacing w:line="240" w:lineRule="auto"/>
        <w:ind w:left="720"/>
      </w:pPr>
      <w:r/>
      <w:hyperlink r:id="rId9">
        <w:r>
          <w:rPr>
            <w:color w:val="0000EE"/>
            <w:u w:val="single"/>
          </w:rPr>
          <w:t>https://apnews.com/article/c782f5318613126fe072d29133e6bf5d</w:t>
        </w:r>
      </w:hyperlink>
      <w:r>
        <w:t xml:space="preserve"> - Turkish authorities have intensified their crackdown on LGBTQ+ and HIV support groups, conducting coordinated raids in major cities including Istanbul, Ankara, and Izmir. The operation, named 'Ailem Güvende' (My Family is Safe), led to the detention of numerous individuals, searches of association offices, and blocking of organization websites. Justice Minister Akin Gurlek stated that the investigation involves 162 suspects, nine associations, and 13 businesses, aiming to protect children, the family institution, and public order. Critics, such as the Human Rights Association, have condemned the raids as politically motivated, alleging they are designed to suppress diversity and civil society under the guise of protecting public order. The governing Justice and Development Party has previously intensified anti-LGBTQ+ rhetoric, including the ban on Istanbul Pride since 2015 and the recent denial of docking rights to an LGBTQ+ cruise ship. Despite the legal decriminalization of homosexuality in the Ottoman era, contemporary Turkey continues to witness significant discrimination against LGBTQ+ individuals. (</w:t>
      </w:r>
      <w:hyperlink r:id="rId16">
        <w:r>
          <w:rPr>
            <w:color w:val="0000EE"/>
            <w:u w:val="single"/>
          </w:rPr>
          <w:t>apnews.com</w:t>
        </w:r>
      </w:hyperlink>
      <w:r>
        <w:t>)</w:t>
      </w:r>
      <w:r/>
    </w:p>
    <w:p>
      <w:pPr>
        <w:pStyle w:val="ListNumber"/>
        <w:spacing w:line="240" w:lineRule="auto"/>
        <w:ind w:left="720"/>
      </w:pPr>
      <w:r/>
      <w:hyperlink r:id="rId11">
        <w:r>
          <w:rPr>
            <w:color w:val="0000EE"/>
            <w:u w:val="single"/>
          </w:rPr>
          <w:t>https://www.urania.institute/en/news/2026/0913-turkey-blocks-lgbt-accounts/</w:t>
        </w:r>
      </w:hyperlink>
      <w:r>
        <w:t xml:space="preserve"> - On September 12, 2026, the Istanbul 7th Peace Criminal Judgeship issued a decision to block access to the websites and social media pages of numerous LGBTQ+ organizations and activists. The ruling affected 14 accounts on the social network X (formerly Twitter) and 11 accounts on Instagram, as well as the websites of human rights organizations such as KaosGL and the publication Velvele. The blockade impacted resources belonging to prominent Turkish LGBTQ+ associations, including KaosGL, Pembe Hayat, SPoD (Social Policy, Gender Identity, and Sexual Orientation Studies Association), LİSTAG, as well as student clubs from Boğaziçi, Bilkent, and Hacettepe universities. The restrictions also targeted the personal pages of journalists, lawyers, and human rights defenders, including KaosGL Editor-in-Chief Yıldız Tar, actress and trans activist Seyhan Arman, and lawyer Levent Pişkin. Shortly after the blocks, Minister of Justice Akın Gürlek justified the restrictions as part of a massive police operation dubbed 'My Family is Safe' (Ailem Güvende) spanning 15 provinces. According to Gürlek, legal actions have been initiated against 162 individuals, nine associations, and 13 businesses under the premise of protecting 'children, the family institution, and social order.' He also announced an investigation into the foreign funding received by LGBTQ+ organizations, accusing them of 'encouraging LGBT and immorality.' (</w:t>
      </w:r>
      <w:hyperlink r:id="rId17">
        <w:r>
          <w:rPr>
            <w:color w:val="0000EE"/>
            <w:u w:val="single"/>
          </w:rPr>
          <w:t>urania.institute</w:t>
        </w:r>
      </w:hyperlink>
      <w:r>
        <w:t>)</w:t>
      </w:r>
      <w:r/>
    </w:p>
    <w:p>
      <w:pPr>
        <w:pStyle w:val="ListNumber"/>
        <w:spacing w:line="240" w:lineRule="auto"/>
        <w:ind w:left="720"/>
      </w:pPr>
      <w:r/>
      <w:hyperlink r:id="rId14">
        <w:r>
          <w:rPr>
            <w:color w:val="0000EE"/>
            <w:u w:val="single"/>
          </w:rPr>
          <w:t>https://www.agos.com.tr/tr/haber/sen-de-rahat-dursaydın-2025-istanbul-lgbti-ve-trans-onur-haftası-ihlalleri-raporlandi-35386</w:t>
        </w:r>
      </w:hyperlink>
      <w:r>
        <w:t xml:space="preserve"> - Human rights organizations have documented violations during the 11th Trans Pride March and the 23rd Istanbul LGBTQ+ Pride March held in Istanbul during Pride Month 2025. The report highlights systematic human rights violations, including police violence, arbitrary detentions, reverse handcuffing, and unlawful bans, as part of a broader pattern of repression against LGBTQ+ individuals. The organizations involved in the documentation include the 17 Mayıs Association, Truth Justice Memory Center, Human Rights Association (İHD) Istanbul Branch, Kaos GL Association, Social Policy, Gender Identity and Sexual Orientation Studies Association (SPoD), Human Rights Foundation of Turkey (TİHV), and Amnesty International Turkey. The report calls for an immediate end to these human rights violations. (</w:t>
      </w:r>
      <w:hyperlink r:id="rId18">
        <w:r>
          <w:rPr>
            <w:color w:val="0000EE"/>
            <w:u w:val="single"/>
          </w:rPr>
          <w:t>agos.com.tr</w:t>
        </w:r>
      </w:hyperlink>
      <w:r>
        <w:t>)</w:t>
      </w:r>
      <w:r/>
    </w:p>
    <w:p>
      <w:pPr>
        <w:pStyle w:val="ListNumber"/>
        <w:spacing w:line="240" w:lineRule="auto"/>
        <w:ind w:left="720"/>
      </w:pPr>
      <w:r/>
      <w:hyperlink r:id="rId13">
        <w:r>
          <w:rPr>
            <w:color w:val="0000EE"/>
            <w:u w:val="single"/>
          </w:rPr>
          <w:t>https://www.hrw.org/tr/news/2025/10/29/turkiye-draft-law-threatens-lgbt-people-with-prison</w:t>
        </w:r>
      </w:hyperlink>
      <w:r>
        <w:t xml:space="preserve"> - Human Rights Watch has expressed concern over a government-proposed draft law in Turkey that could lead to criminal charges against lesbian, gay, bisexual, and transgender (LGBT) individuals. The proposal, known as the 11th Judicial Package, includes amendments to the Turkish penal code and civil code that threaten the rights of LGBT people. Activists have called for the immediate withdrawal of the proposal, describing it as one of the most alarming rollbacks of rights in decades. (</w:t>
      </w:r>
      <w:hyperlink r:id="rId19">
        <w:r>
          <w:rPr>
            <w:color w:val="0000EE"/>
            <w:u w:val="single"/>
          </w:rPr>
          <w:t>hrw.org</w:t>
        </w:r>
      </w:hyperlink>
      <w:r>
        <w:t>)</w:t>
      </w:r>
      <w:r/>
    </w:p>
    <w:p>
      <w:pPr>
        <w:pStyle w:val="ListNumber"/>
        <w:spacing w:line="240" w:lineRule="auto"/>
        <w:ind w:left="720"/>
      </w:pPr>
      <w:r/>
      <w:hyperlink r:id="rId10">
        <w:r>
          <w:rPr>
            <w:color w:val="0000EE"/>
            <w:u w:val="single"/>
          </w:rPr>
          <w:t>https://www.bwebportal.com.tr/haber/ailem-guvende-sorusturmasinda-6-lgbt-dernegine-operasyon-yurt-disindan-parasal-destekler-inceleniyor</w:t>
        </w:r>
      </w:hyperlink>
      <w:r>
        <w:t xml:space="preserve"> - In the 'Ailem Güvende' investigations, operations were conducted against six LGBTQ+ associations under the instruction of the Istanbul Chief Public Prosecutor's Office. It was determined that a total of $3,359,000 was sent from foreign individuals and institutions to these six associations at different times. These financial transfers are also being examined within the scope of the investigation. The operation, coordinated by the Chief Public Prosecutor's Offices of Istanbul, Ankara, Izmir, Aydın, and Mersin, involved police and gendarmerie teams across 15 provinces. Justice Minister Akın Gürlek announced that legal actions have been initiated against 162 suspects, nine associations, and 13 businesses. (</w:t>
      </w:r>
      <w:hyperlink r:id="rId20">
        <w:r>
          <w:rPr>
            <w:color w:val="0000EE"/>
            <w:u w:val="single"/>
          </w:rPr>
          <w:t>bwebportal.com.tr</w:t>
        </w:r>
      </w:hyperlink>
      <w:r>
        <w:t>)</w:t>
      </w:r>
      <w:r/>
    </w:p>
    <w:p>
      <w:pPr>
        <w:pStyle w:val="ListNumber"/>
        <w:spacing w:line="240" w:lineRule="auto"/>
        <w:ind w:left="720"/>
      </w:pPr>
      <w:r/>
      <w:hyperlink r:id="rId15">
        <w:r>
          <w:rPr>
            <w:color w:val="0000EE"/>
            <w:u w:val="single"/>
          </w:rPr>
          <w:t>https://medyascope.tv/2025/08/06/sen-de-rahat-dursaydın-2025-istanbul-lgbti-ve-trans-onur-haftasi-ihlalleri-raporlandi/</w:t>
        </w:r>
      </w:hyperlink>
      <w:r>
        <w:t xml:space="preserve"> - Human rights organizations have documented violations during the 11th Trans Pride March and the 23rd Istanbul LGBTQ+ Pride March held in Istanbul during Pride Month 2025. The report highlights systematic human rights violations, including police violence, arbitrary detentions, reverse handcuffing, and unlawful bans, as part of a broader pattern of repression against LGBTQ+ individuals. The organizations involved in the documentation include the 17 Mayıs Association, Truth Justice Memory Center, Human Rights Association (İHD) Istanbul Branch, Kaos GL Association, Social Policy, Gender Identity and Sexual Orientation Studies Association (SPoD), Human Rights Foundation of Turkey (TİHV), and Amnesty International Turkey. The report calls for an immediate end to these human rights violations. (</w:t>
      </w:r>
      <w:hyperlink r:id="rId15">
        <w:r>
          <w:rPr>
            <w:color w:val="0000EE"/>
            <w:u w:val="single"/>
          </w:rPr>
          <w:t>medyascope.tv</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c782f5318613126fe072d29133e6bf5d" TargetMode="External"/><Relationship Id="rId10" Type="http://schemas.openxmlformats.org/officeDocument/2006/relationships/hyperlink" Target="https://www.bwebportal.com.tr/haber/ailem-guvende-sorusturmasinda-6-lgbt-dernegine-operasyon-yurt-disindan-parasal-destekler-inceleniyor" TargetMode="External"/><Relationship Id="rId11" Type="http://schemas.openxmlformats.org/officeDocument/2006/relationships/hyperlink" Target="https://www.urania.institute/en/news/2026/0913-turkey-blocks-lgbt-accounts/" TargetMode="External"/><Relationship Id="rId12" Type="http://schemas.openxmlformats.org/officeDocument/2006/relationships/hyperlink" Target="https://www.haber7.com/guncel/haber/3659523-istanbulda-lgbt-derneklerinin-kirli-agi-32-milyonluk-fon-ve-kayip-evraklar-desifre-oldu" TargetMode="External"/><Relationship Id="rId13" Type="http://schemas.openxmlformats.org/officeDocument/2006/relationships/hyperlink" Target="https://www.hrw.org/tr/news/2025/10/29/turkiye-draft-law-threatens-lgbt-people-with-prison" TargetMode="External"/><Relationship Id="rId14" Type="http://schemas.openxmlformats.org/officeDocument/2006/relationships/hyperlink" Target="https://www.agos.com.tr/tr/haber/sen-de-rahat-dursayd&#305;n-2025-istanbul-lgbti-ve-trans-onur-haftas&#305;-ihlalleri-raporlandi-35386" TargetMode="External"/><Relationship Id="rId15" Type="http://schemas.openxmlformats.org/officeDocument/2006/relationships/hyperlink" Target="https://medyascope.tv/2025/08/06/sen-de-rahat-dursayd&#305;n-2025-istanbul-lgbti-ve-trans-onur-haftasi-ihlalleri-raporlandi/"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www.urania.institute/en/news/2026/0913-turkey-blocks-lgbt-accounts/?utm_source=openai" TargetMode="External"/><Relationship Id="rId18" Type="http://schemas.openxmlformats.org/officeDocument/2006/relationships/hyperlink" Target="https://www.agos.com.tr/tr/haber/sen-de-rahat-dursaydin-2025-istanbul-lgbti-ve-trans-onur-haftasi-ihlalleri-raporlandi-35386?utm_source=openai" TargetMode="External"/><Relationship Id="rId19" Type="http://schemas.openxmlformats.org/officeDocument/2006/relationships/hyperlink" Target="https://www.hrw.org/tr/news/2025/10/29/turkiye-draft-law-threatens-lgbt-people-with-prison?utm_source=openai" TargetMode="External"/><Relationship Id="rId20" Type="http://schemas.openxmlformats.org/officeDocument/2006/relationships/hyperlink" Target="https://www.bwebportal.com.tr/haber/ailem-guvende-sorusturmasinda-6-lgbt-dernegine-operasyon-yurt-disindan-parasal-destekler-inceleniyor?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