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captured journalism can distort debates over sex and fairness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taking a closer look at how newsrooms cover sex, gender and single-sex spaces, after cases involving Darlington nurses and Sandie Peggie exposed the real-world stakes. The debate matters because language, guest selection and editorial framing can shape public understanding long before a court, regulator or employer has settled the facts.</w:t>
      </w:r>
      <w:r/>
    </w:p>
    <w:p>
      <w:pPr>
        <w:pStyle w:val="Heading2"/>
      </w:pPr>
      <w:r>
        <w:t>Essential Takeaways</w:t>
      </w:r>
      <w:r/>
      <w:r/>
    </w:p>
    <w:p>
      <w:pPr>
        <w:pStyle w:val="ListBullet"/>
        <w:spacing w:line="240" w:lineRule="auto"/>
        <w:ind w:left="720"/>
      </w:pPr>
      <w:r/>
      <w:r>
        <w:rPr>
          <w:b/>
        </w:rPr>
        <w:t>Editorial framing matters:</w:t>
      </w:r>
      <w:r>
        <w:t xml:space="preserve"> Word choice can subtly steer readers towards one interpretation of a contested issue.</w:t>
      </w:r>
      <w:r/>
    </w:p>
    <w:p>
      <w:pPr>
        <w:pStyle w:val="ListBullet"/>
        <w:spacing w:line="240" w:lineRule="auto"/>
        <w:ind w:left="720"/>
      </w:pPr>
      <w:r/>
      <w:r>
        <w:rPr>
          <w:b/>
        </w:rPr>
        <w:t>The Darlington dispute has consequences:</w:t>
      </w:r>
      <w:r>
        <w:t xml:space="preserve"> Nurses are reportedly due substantial damages in a row over changing-room arrangements.</w:t>
      </w:r>
      <w:r/>
    </w:p>
    <w:p>
      <w:pPr>
        <w:pStyle w:val="ListBullet"/>
        <w:spacing w:line="240" w:lineRule="auto"/>
        <w:ind w:left="720"/>
      </w:pPr>
      <w:r/>
      <w:r>
        <w:rPr>
          <w:b/>
        </w:rPr>
        <w:t>Impartiality is more than balance:</w:t>
      </w:r>
      <w:r>
        <w:t xml:space="preserve"> A programme can feature several guests yet still omit a relevant perspective.</w:t>
      </w:r>
      <w:r/>
    </w:p>
    <w:p>
      <w:pPr>
        <w:pStyle w:val="ListBullet"/>
        <w:spacing w:line="240" w:lineRule="auto"/>
        <w:ind w:left="720"/>
      </w:pPr>
      <w:r/>
      <w:r>
        <w:rPr>
          <w:b/>
        </w:rPr>
        <w:t>Complaints can influence coverage:</w:t>
      </w:r>
      <w:r>
        <w:t xml:space="preserve"> Regulatory challenges are legitimate, but public pressure can also affect how controversial stories are reported.</w:t>
      </w:r>
      <w:r/>
      <w:r/>
    </w:p>
    <w:p>
      <w:pPr>
        <w:pStyle w:val="Heading2"/>
      </w:pPr>
      <w:r>
        <w:t>When journalism stops asking awkward questions</w:t>
      </w:r>
      <w:r/>
    </w:p>
    <w:p>
      <w:r/>
      <w:r>
        <w:t>The warning sign isn't that journalists have opinions. It's that some basic questions appear to become off-limits. When reporting on changing rooms, prisons, sport or healthcare treats contested claims as settled truth, readers can be left with a polished narrative but little sense of the underlying dispute.</w:t>
      </w:r>
      <w:r/>
    </w:p>
    <w:p>
      <w:r/>
      <w:r>
        <w:t>That matters particularly when people are making decisions about privacy, safety and professional conduct. ITV News reported that Darlington nurses were due £187,000 in damages over a dispute involving a male colleague's use of women's changing facilities. Whatever one's view of the wider debate, the case shows why precise language and careful scrutiny aren't optional extras.</w:t>
      </w:r>
      <w:r/>
    </w:p>
    <w:p>
      <w:r/>
      <w:r>
        <w:t>The public often notices these failures late, after an individual case has become impossible to ignore. By then, trust has already taken a knock.</w:t>
      </w:r>
      <w:r/>
    </w:p>
    <w:p>
      <w:pPr>
        <w:pStyle w:val="Heading2"/>
      </w:pPr>
      <w:r>
        <w:t>Why the Darlington nurses case resonated</w:t>
      </w:r>
      <w:r/>
    </w:p>
    <w:p>
      <w:r/>
      <w:r>
        <w:t>The Darlington story landed because it was tangible. This wasn't an abstract argument about terminology on social media; it involved staff changing at work, workplace rules and the question of whether women could object without being dismissed as prejudiced.</w:t>
      </w:r>
      <w:r/>
    </w:p>
    <w:p>
      <w:r/>
      <w:r>
        <w:t>Reporting from Spiked described nurses saying they had been forced to change in front of a male colleague. The emotional force is easy to understand: changing rooms are private, ordinary spaces, and most people expect clear boundaries there.</w:t>
      </w:r>
      <w:r/>
    </w:p>
    <w:p>
      <w:r/>
      <w:r>
        <w:t>Other coverage has presented the case as evidence of the risks faced by trans people, showing how sharply the same events can be interpreted. Nova described experts as divided over what the litigation means for trans rights, while The Courier connected the dispute with the wider Sandie Peggie controversy.</w:t>
      </w:r>
      <w:r/>
    </w:p>
    <w:p>
      <w:r/>
      <w:r>
        <w:t>That clash is precisely why journalism should separate verified facts from advocacy. Readers need to know what happened, what each side claims, what a court decided and which questions remain unresolved.</w:t>
      </w:r>
      <w:r/>
    </w:p>
    <w:p>
      <w:pPr>
        <w:pStyle w:val="Heading2"/>
      </w:pPr>
      <w:r>
        <w:t>Is neutrality becoming a form of avoidance?</w:t>
      </w:r>
      <w:r/>
    </w:p>
    <w:p>
      <w:r/>
      <w:r>
        <w:t>Impartiality doesn't mean pretending every claim has equal evidential weight. Nor does it require a reporter to avoid describing a relevant fact simply because doing so might upset a campaign group.</w:t>
      </w:r>
      <w:r/>
    </w:p>
    <w:p>
      <w:r/>
      <w:r>
        <w:t>The more useful test is whether the audience has been given enough context to understand the disagreement. Who was interviewed? Which definitions were used? Was a significant opposing view omitted, or simply unavailable? Did the headline accurately reflect the evidence?</w:t>
      </w:r>
      <w:r/>
    </w:p>
    <w:p>
      <w:r/>
      <w:r>
        <w:t>The Associated Press has also reported on the wider political and cultural conflict around gender identity, illustrating how quickly these disputes move beyond individual cases. A careful article doesn't need to settle the entire argument, but it should make clear where evidence ends and interpretation begins.</w:t>
      </w:r>
      <w:r/>
    </w:p>
    <w:p>
      <w:pPr>
        <w:pStyle w:val="Heading2"/>
      </w:pPr>
      <w:r>
        <w:t>Language can quietly lead the reader</w:t>
      </w:r>
      <w:r/>
    </w:p>
    <w:p>
      <w:r/>
      <w:r>
        <w:t>Framing often works through small choices. A report can foreground identity, sympathy or activism, while leaving workplace rules, biological sex or legal context in the background. None of those choices is neutral when they consistently point in one direction.</w:t>
      </w:r>
      <w:r/>
    </w:p>
    <w:p>
      <w:r/>
      <w:r>
        <w:t>That doesn't mean journalists should use hostile or reductive descriptions. It does mean they should avoid language that obscures material facts. Readers are perfectly capable of understanding that someone identifies as transgender while also receiving accurate information about sex, legal status or the nature of a dispute.</w:t>
      </w:r>
      <w:r/>
    </w:p>
    <w:p>
      <w:r/>
      <w:r>
        <w:t>The same principle applies to lighter stories. Turning ordinary friendship into evidence of a particular political or cultural theory may sound warm, but it can also make coverage feel less like reporting and more like promotion.</w:t>
      </w:r>
      <w:r/>
    </w:p>
    <w:p>
      <w:pPr>
        <w:pStyle w:val="Heading2"/>
      </w:pPr>
      <w:r>
        <w:t>What better reporting would look like</w:t>
      </w:r>
      <w:r/>
    </w:p>
    <w:p>
      <w:r/>
      <w:r>
        <w:t>For readers, a useful quick check is to compare several outlets, including publications that disagree with one another. Look for the original documents, court findings and regulator decisions rather than relying solely on headlines or social media summaries.</w:t>
      </w:r>
      <w:r/>
    </w:p>
    <w:p>
      <w:r/>
      <w:r>
        <w:t>For editors, the practical steps are straightforward. Define disputed terms, disclose relevant affiliations, include directly affected people where possible and explain why a perspective wasn't included. If a complaint is made, report its existence without implying that an allegation has already been proved.</w:t>
      </w:r>
      <w:r/>
    </w:p>
    <w:p>
      <w:r/>
      <w:r>
        <w:t>The Darlington nurses case and the Sandie Peggie dispute won't end the argument over sex and gender. But they should sharpen the journalism around it. People can cope with disagreement; what they struggle to forgive is the feeling that facts were quietly edited out.</w:t>
      </w:r>
      <w:r/>
    </w:p>
    <w:p>
      <w:r/>
      <w:r>
        <w:t>It's a small distinction in wording, but a major one for public trust.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1">
        <w:r>
          <w:rPr>
            <w:color w:val="0000EE"/>
            <w:u w:val="single"/>
          </w:rPr>
          <w:t>[7]</w:t>
        </w:r>
      </w:hyperlink>
      <w:r>
        <w:t xml:space="preserve">- Paragraph 4: </w:t>
      </w:r>
      <w:hyperlink r:id="rId15">
        <w:r>
          <w:rPr>
            <w:color w:val="0000EE"/>
            <w:u w:val="single"/>
          </w:rPr>
          <w:t>[4]</w:t>
        </w:r>
      </w:hyperlink>
      <w:r>
        <w:t xml:space="preserve">, </w:t>
      </w:r>
      <w:hyperlink r:id="rId14">
        <w:r>
          <w:rPr>
            <w:color w:val="0000EE"/>
            <w:u w:val="single"/>
          </w:rPr>
          <w:t>[6]</w:t>
        </w:r>
      </w:hyperlink>
      <w:r>
        <w:t xml:space="preserve">- Paragraph 5: </w:t>
      </w:r>
      <w:hyperlink r:id="rId10">
        <w:r>
          <w:rPr>
            <w:color w:val="0000EE"/>
            <w:u w:val="single"/>
          </w:rPr>
          <w:t>[2]</w:t>
        </w:r>
      </w:hyperlink>
      <w:r>
        <w:t xml:space="preserve">, </w:t>
      </w:r>
      <w:hyperlink r:id="rId12">
        <w:r>
          <w:rPr>
            <w:color w:val="0000EE"/>
            <w:u w:val="single"/>
          </w:rPr>
          <w:t>[3]</w:t>
        </w:r>
      </w:hyperlink>
      <w:r>
        <w:t xml:space="preserve">- Paragraph 6: </w:t>
      </w:r>
      <w:hyperlink r:id="rId13">
        <w:r>
          <w:rPr>
            <w:color w:val="0000EE"/>
            <w:u w:val="single"/>
          </w:rPr>
          <w:t>[5]</w:t>
        </w:r>
      </w:hyperlink>
      <w:r>
        <w:t xml:space="preserve">, </w:t>
      </w:r>
      <w:hyperlink r:id="rId11">
        <w:r>
          <w:rPr>
            <w:color w:val="0000EE"/>
            <w:u w:val="single"/>
          </w:rPr>
          <w:t>[7]</w:t>
        </w:r>
      </w:hyperlink>
      <w:r>
        <w:t xml:space="preserve">- Paragraph 7: </w:t>
      </w:r>
      <w:hyperlink r:id="rId14">
        <w:r>
          <w:rPr>
            <w:color w:val="0000EE"/>
            <w:u w:val="single"/>
          </w:rPr>
          <w:t>[6]</w:t>
        </w:r>
      </w:hyperlink>
      <w:r>
        <w:t xml:space="preserve">, </w:t>
      </w:r>
      <w:hyperlink r:id="rId11">
        <w:r>
          <w:rPr>
            <w:color w:val="0000EE"/>
            <w:u w:val="single"/>
          </w:rPr>
          <w:t>[7]</w:t>
        </w:r>
      </w:hyperlink>
      <w:r>
        <w:t xml:space="preserve">- Paragraph 8: </w:t>
      </w:r>
      <w:hyperlink r:id="rId15">
        <w:r>
          <w:rPr>
            <w:color w:val="0000EE"/>
            <w:u w:val="single"/>
          </w:rPr>
          <w:t>[4]</w:t>
        </w:r>
      </w:hyperlink>
      <w:r>
        <w:t xml:space="preserve">, </w:t>
      </w:r>
      <w:hyperlink r:id="rId14">
        <w:r>
          <w:rPr>
            <w:color w:val="0000EE"/>
            <w:u w:val="single"/>
          </w:rPr>
          <w:t>[6]</w:t>
        </w:r>
      </w:hyperlink>
      <w:r>
        <w:t xml:space="preserve">- Paragraph 9: </w:t>
      </w:r>
      <w:hyperlink r:id="rId10">
        <w:r>
          <w:rPr>
            <w:color w:val="0000EE"/>
            <w:u w:val="single"/>
          </w:rPr>
          <w:t>[2]</w:t>
        </w:r>
      </w:hyperlink>
      <w:r>
        <w:t xml:space="preserve">, </w:t>
      </w:r>
      <w:hyperlink r:id="rId12">
        <w:r>
          <w:rPr>
            <w:color w:val="0000EE"/>
            <w:u w:val="single"/>
          </w:rPr>
          <w:t>[3]</w:t>
        </w:r>
      </w:hyperlink>
      <w:r>
        <w:t xml:space="preserve">- Paragraph 10: </w:t>
      </w:r>
      <w:hyperlink r:id="rId13">
        <w:r>
          <w:rPr>
            <w:color w:val="0000EE"/>
            <w:u w:val="single"/>
          </w:rPr>
          <w:t>[5]</w:t>
        </w:r>
      </w:hyperlink>
      <w:r>
        <w:t xml:space="preserve">, </w:t>
      </w:r>
      <w:hyperlink r:id="rId14">
        <w:r>
          <w:rPr>
            <w:color w:val="0000EE"/>
            <w:u w:val="single"/>
          </w:rPr>
          <w:t>[6]</w:t>
        </w:r>
      </w:hyperlink>
      <w:r>
        <w:t xml:space="preserve">- Paragraph 11: </w:t>
      </w:r>
      <w:hyperlink r:id="rId12">
        <w:r>
          <w:rPr>
            <w:color w:val="0000EE"/>
            <w:u w:val="single"/>
          </w:rPr>
          <w:t>[3]</w:t>
        </w:r>
      </w:hyperlink>
      <w:r>
        <w:t xml:space="preserve">, </w:t>
      </w:r>
      <w:hyperlink r:id="rId11">
        <w:r>
          <w:rPr>
            <w:color w:val="0000EE"/>
            <w:u w:val="single"/>
          </w:rPr>
          <w:t>[7]</w:t>
        </w:r>
      </w:hyperlink>
      <w:r>
        <w:t xml:space="preserve">- Paragraph 12: </w:t>
      </w:r>
      <w:hyperlink r:id="rId10">
        <w:r>
          <w:rPr>
            <w:color w:val="0000EE"/>
            <w:u w:val="single"/>
          </w:rPr>
          <w:t>[2]</w:t>
        </w:r>
      </w:hyperlink>
      <w:r>
        <w:t xml:space="preserve">, </w:t>
      </w:r>
      <w:hyperlink r:id="rId15">
        <w:r>
          <w:rPr>
            <w:color w:val="0000EE"/>
            <w:u w:val="single"/>
          </w:rPr>
          <w:t>[4]</w:t>
        </w:r>
      </w:hyperlink>
      <w:r>
        <w:t xml:space="preserve">- Paragraph 13: </w:t>
      </w:r>
      <w:hyperlink r:id="rId12">
        <w:r>
          <w:rPr>
            <w:color w:val="0000EE"/>
            <w:u w:val="single"/>
          </w:rPr>
          <w:t>[3]</w:t>
        </w:r>
      </w:hyperlink>
      <w:r>
        <w:t xml:space="preserve">, </w:t>
      </w:r>
      <w:hyperlink r:id="rId13">
        <w:r>
          <w:rPr>
            <w:color w:val="0000EE"/>
            <w:u w:val="single"/>
          </w:rPr>
          <w:t>[5]</w:t>
        </w:r>
      </w:hyperlink>
      <w:r>
        <w:t xml:space="preserve">- Paragraph 14: </w:t>
      </w:r>
      <w:hyperlink r:id="rId14">
        <w:r>
          <w:rPr>
            <w:color w:val="0000EE"/>
            <w:u w:val="single"/>
          </w:rPr>
          <w:t>[6]</w:t>
        </w:r>
      </w:hyperlink>
      <w:r>
        <w:t xml:space="preserve">, </w:t>
      </w:r>
      <w:hyperlink r:id="rId11">
        <w:r>
          <w:rPr>
            <w:color w:val="0000EE"/>
            <w:u w:val="single"/>
          </w:rPr>
          <w:t>[7]</w:t>
        </w:r>
      </w:hyperlink>
      <w:r>
        <w:t xml:space="preserve">- Paragraph 15: </w:t>
      </w:r>
      <w:hyperlink r:id="rId10">
        <w:r>
          <w:rPr>
            <w:color w:val="0000EE"/>
            <w:u w:val="single"/>
          </w:rPr>
          <w:t>[2]</w:t>
        </w:r>
      </w:hyperlink>
      <w:r>
        <w:t xml:space="preserve">, </w:t>
      </w:r>
      <w:hyperlink r:id="rId12">
        <w:r>
          <w:rPr>
            <w:color w:val="0000EE"/>
            <w:u w:val="single"/>
          </w:rPr>
          <w:t>[3]</w:t>
        </w:r>
      </w:hyperlink>
      <w:r>
        <w:t xml:space="preserve">- Paragraph 16: </w:t>
      </w:r>
      <w:hyperlink r:id="rId15">
        <w:r>
          <w:rPr>
            <w:color w:val="0000EE"/>
            <w:u w:val="single"/>
          </w:rPr>
          <w:t>[4]</w:t>
        </w:r>
      </w:hyperlink>
      <w:r>
        <w:t xml:space="preserve">, </w:t>
      </w:r>
      <w:hyperlink r:id="rId14">
        <w:r>
          <w:rPr>
            <w:color w:val="0000EE"/>
            <w:u w:val="single"/>
          </w:rPr>
          <w:t>[6]</w:t>
        </w:r>
      </w:hyperlink>
      <w:r>
        <w:t xml:space="preserve">- Paragraph 17: </w:t>
      </w:r>
      <w:hyperlink r:id="rId10">
        <w:r>
          <w:rPr>
            <w:color w:val="0000EE"/>
            <w:u w:val="single"/>
          </w:rPr>
          <w:t>[2]</w:t>
        </w:r>
      </w:hyperlink>
      <w:r>
        <w:t xml:space="preserve">, </w:t>
      </w:r>
      <w:hyperlink r:id="rId13">
        <w:r>
          <w:rPr>
            <w:color w:val="0000EE"/>
            <w:u w:val="single"/>
          </w:rPr>
          <w:t>[5]</w:t>
        </w:r>
      </w:hyperlink>
      <w:r>
        <w:t xml:space="preserve">- Paragraph 18: </w:t>
      </w:r>
      <w:hyperlink r:id="rId12">
        <w:r>
          <w:rPr>
            <w:color w:val="0000EE"/>
            <w:u w:val="single"/>
          </w:rPr>
          <w:t>[3]</w:t>
        </w:r>
      </w:hyperlink>
      <w:r>
        <w:t xml:space="preserve">, </w:t>
      </w:r>
      <w:hyperlink r:id="rId11">
        <w:r>
          <w:rPr>
            <w:color w:val="0000EE"/>
            <w:u w:val="single"/>
          </w:rPr>
          <w:t>[7]</w:t>
        </w:r>
      </w:hyperlink>
      <w:r>
        <w:t xml:space="preserve">- Paragraph 19: </w:t>
      </w:r>
      <w:hyperlink r:id="rId10">
        <w:r>
          <w:rPr>
            <w:color w:val="0000EE"/>
            <w:u w:val="single"/>
          </w:rPr>
          <w:t>[2]</w:t>
        </w:r>
      </w:hyperlink>
      <w:r>
        <w:t xml:space="preserve">, </w:t>
      </w:r>
      <w:hyperlink r:id="rId14">
        <w:r>
          <w:rPr>
            <w:color w:val="0000EE"/>
            <w:u w:val="single"/>
          </w:rPr>
          <w:t>[6]</w:t>
        </w:r>
      </w:hyperlink>
      <w:r>
        <w:t xml:space="preserve">- Paragraph 20: </w:t>
      </w:r>
      <w:hyperlink r:id="rId15">
        <w:r>
          <w:rPr>
            <w:color w:val="0000EE"/>
            <w:u w:val="single"/>
          </w:rPr>
          <w:t>[4]</w:t>
        </w:r>
      </w:hyperlink>
      <w:r>
        <w:t xml:space="preserve">, </w:t>
      </w:r>
      <w:hyperlink r:id="rId11">
        <w:r>
          <w:rPr>
            <w:color w:val="0000EE"/>
            <w:u w:val="single"/>
          </w:rPr>
          <w:t>[7]</w:t>
        </w:r>
      </w:hyperlink>
      <w:r>
        <w:t xml:space="preserve">- Paragraph 21: </w:t>
      </w:r>
      <w:hyperlink r:id="rId10">
        <w:r>
          <w:rPr>
            <w:color w:val="0000EE"/>
            <w:u w:val="single"/>
          </w:rPr>
          <w:t>[2]</w:t>
        </w:r>
      </w:hyperlink>
      <w:r>
        <w:t xml:space="preserve">, </w:t>
      </w:r>
      <w:hyperlink r:id="rId12">
        <w:r>
          <w:rPr>
            <w:color w:val="0000EE"/>
            <w:u w:val="single"/>
          </w:rPr>
          <w:t>[3]</w:t>
        </w:r>
      </w:hyperlink>
      <w:r>
        <w:t xml:space="preserve">- Paragraph 22: </w:t>
      </w:r>
      <w:hyperlink r:id="rId13">
        <w:r>
          <w:rPr>
            <w:color w:val="0000EE"/>
            <w:u w:val="single"/>
          </w:rPr>
          <w:t>[5]</w:t>
        </w:r>
      </w:hyperlink>
      <w:r>
        <w:t xml:space="preserve">, </w:t>
      </w:r>
      <w:hyperlink r:id="rId14">
        <w:r>
          <w:rPr>
            <w:color w:val="0000EE"/>
            <w:u w:val="single"/>
          </w:rPr>
          <w:t>[6]</w:t>
        </w:r>
      </w:hyperlink>
      <w:r>
        <w:t xml:space="preserve">- Paragraph 23: </w:t>
      </w:r>
      <w:hyperlink r:id="rId12">
        <w:r>
          <w:rPr>
            <w:color w:val="0000EE"/>
            <w:u w:val="single"/>
          </w:rPr>
          <w:t>[3]</w:t>
        </w:r>
      </w:hyperlink>
      <w:r>
        <w:t xml:space="preserve">, </w:t>
      </w:r>
      <w:hyperlink r:id="rId11">
        <w:r>
          <w:rPr>
            <w:color w:val="0000EE"/>
            <w:u w:val="single"/>
          </w:rPr>
          <w:t>[7]</w:t>
        </w:r>
      </w:hyperlink>
      <w:r>
        <w:t xml:space="preserve">- Paragraph 24: </w:t>
      </w:r>
      <w:hyperlink r:id="rId10">
        <w:r>
          <w:rPr>
            <w:color w:val="0000EE"/>
            <w:u w:val="single"/>
          </w:rPr>
          <w:t>[2]</w:t>
        </w:r>
      </w:hyperlink>
      <w:r>
        <w:t xml:space="preserve">, </w:t>
      </w:r>
      <w:hyperlink r:id="rId15">
        <w:r>
          <w:rPr>
            <w:color w:val="0000EE"/>
            <w:u w:val="single"/>
          </w:rPr>
          <w:t>[4]</w:t>
        </w:r>
      </w:hyperlink>
      <w:r>
        <w:t xml:space="preserve">- Paragraph 25: </w:t>
      </w:r>
      <w:hyperlink r:id="rId14">
        <w:r>
          <w:rPr>
            <w:color w:val="0000EE"/>
            <w:u w:val="single"/>
          </w:rPr>
          <w:t>[6]</w:t>
        </w:r>
      </w:hyperlink>
      <w:r>
        <w:t xml:space="preserve">, </w:t>
      </w:r>
      <w:hyperlink r:id="rId11">
        <w:r>
          <w:rPr>
            <w:color w:val="0000EE"/>
            <w:u w:val="single"/>
          </w:rPr>
          <w:t>[7]</w:t>
        </w:r>
      </w:hyperlink>
      <w:r>
        <w:t xml:space="preserve">- Paragraph 26: </w:t>
      </w:r>
      <w:hyperlink r:id="rId10">
        <w:r>
          <w:rPr>
            <w:color w:val="0000EE"/>
            <w:u w:val="single"/>
          </w:rPr>
          <w:t>[2]</w:t>
        </w:r>
      </w:hyperlink>
      <w:r>
        <w:t xml:space="preserve">, </w:t>
      </w:r>
      <w:hyperlink r:id="rId12">
        <w:r>
          <w:rPr>
            <w:color w:val="0000EE"/>
            <w:u w:val="single"/>
          </w:rPr>
          <w:t>[3]</w:t>
        </w:r>
      </w:hyperlink>
      <w:r>
        <w:t xml:space="preserve">- Paragraph 27: </w:t>
      </w:r>
      <w:hyperlink r:id="rId15">
        <w:r>
          <w:rPr>
            <w:color w:val="0000EE"/>
            <w:u w:val="single"/>
          </w:rPr>
          <w:t>[4]</w:t>
        </w:r>
      </w:hyperlink>
      <w:r>
        <w:t xml:space="preserve">, </w:t>
      </w:r>
      <w:hyperlink r:id="rId13">
        <w:r>
          <w:rPr>
            <w:color w:val="0000EE"/>
            <w:u w:val="single"/>
          </w:rPr>
          <w:t>[5]</w:t>
        </w:r>
      </w:hyperlink>
      <w:r>
        <w:t xml:space="preserve">- Paragraph 28: </w:t>
      </w:r>
      <w:hyperlink r:id="rId10">
        <w:r>
          <w:rPr>
            <w:color w:val="0000EE"/>
            <w:u w:val="single"/>
          </w:rPr>
          <w:t>[2]</w:t>
        </w:r>
      </w:hyperlink>
      <w:r>
        <w:t xml:space="preserve">, </w:t>
      </w:r>
      <w:hyperlink r:id="rId14">
        <w:r>
          <w:rPr>
            <w:color w:val="0000EE"/>
            <w:u w:val="single"/>
          </w:rPr>
          <w:t>[6]</w:t>
        </w:r>
      </w:hyperlink>
      <w:r>
        <w:t xml:space="preserve">- Paragraph 29: </w:t>
      </w:r>
      <w:hyperlink r:id="rId12">
        <w:r>
          <w:rPr>
            <w:color w:val="0000EE"/>
            <w:u w:val="single"/>
          </w:rPr>
          <w:t>[3]</w:t>
        </w:r>
      </w:hyperlink>
      <w:r>
        <w:t xml:space="preserve">, </w:t>
      </w:r>
      <w:hyperlink r:id="rId11">
        <w:r>
          <w:rPr>
            <w:color w:val="0000EE"/>
            <w:u w:val="single"/>
          </w:rPr>
          <w:t>[7]</w:t>
        </w:r>
      </w:hyperlink>
      <w:r>
        <w:t xml:space="preserve">- Paragraph 30: </w:t>
      </w:r>
      <w:hyperlink r:id="rId13">
        <w:r>
          <w:rPr>
            <w:color w:val="0000EE"/>
            <w:u w:val="single"/>
          </w:rPr>
          <w:t>[5]</w:t>
        </w:r>
      </w:hyperlink>
      <w:r>
        <w:t xml:space="preserve">, </w:t>
      </w:r>
      <w:hyperlink r:id="rId14">
        <w:r>
          <w:rPr>
            <w:color w:val="0000EE"/>
            <w:u w:val="single"/>
          </w:rPr>
          <w:t>[6]</w:t>
        </w:r>
      </w:hyperlink>
      <w:r>
        <w:t xml:space="preserve">- Paragraph 31: </w:t>
      </w:r>
      <w:hyperlink r:id="rId10">
        <w:r>
          <w:rPr>
            <w:color w:val="0000EE"/>
            <w:u w:val="single"/>
          </w:rPr>
          <w:t>[2]</w:t>
        </w:r>
      </w:hyperlink>
      <w:r>
        <w:t xml:space="preserve">, </w:t>
      </w:r>
      <w:hyperlink r:id="rId15">
        <w:r>
          <w:rPr>
            <w:color w:val="0000EE"/>
            <w:u w:val="single"/>
          </w:rPr>
          <w:t>[4]</w:t>
        </w:r>
      </w:hyperlink>
      <w:r>
        <w:t xml:space="preserve">- Paragraph 32: </w:t>
      </w:r>
      <w:hyperlink r:id="rId12">
        <w:r>
          <w:rPr>
            <w:color w:val="0000EE"/>
            <w:u w:val="single"/>
          </w:rPr>
          <w:t>[3]</w:t>
        </w:r>
      </w:hyperlink>
      <w:r>
        <w:t xml:space="preserve">, </w:t>
      </w:r>
      <w:hyperlink r:id="rId11">
        <w:r>
          <w:rPr>
            <w:color w:val="0000EE"/>
            <w:u w:val="single"/>
          </w:rPr>
          <w:t>[7]</w:t>
        </w:r>
      </w:hyperlink>
      <w:r>
        <w:t xml:space="preserve">- Paragraph 33: </w:t>
      </w:r>
      <w:hyperlink r:id="rId13">
        <w:r>
          <w:rPr>
            <w:color w:val="0000EE"/>
            <w:u w:val="single"/>
          </w:rPr>
          <w:t>[5]</w:t>
        </w:r>
      </w:hyperlink>
      <w:r>
        <w:t xml:space="preserve">, </w:t>
      </w:r>
      <w:hyperlink r:id="rId14">
        <w:r>
          <w:rPr>
            <w:color w:val="0000EE"/>
            <w:u w:val="single"/>
          </w:rPr>
          <w:t>[6]</w:t>
        </w:r>
      </w:hyperlink>
      <w:r>
        <w:t xml:space="preserve">- Paragraph 34: </w:t>
      </w:r>
      <w:hyperlink r:id="rId10">
        <w:r>
          <w:rPr>
            <w:color w:val="0000EE"/>
            <w:u w:val="single"/>
          </w:rPr>
          <w:t>[2]</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https://seeninjournalism.substack.com/p/when-journalism-becomes-captured</w:t>
        </w:r>
      </w:hyperlink>
      <w:r>
        <w:t xml:space="preserve"> - Please view link - unable to able to access data</w:t>
      </w:r>
      <w:r/>
    </w:p>
    <w:p>
      <w:pPr>
        <w:pStyle w:val="ListNumber"/>
        <w:spacing w:line="240" w:lineRule="auto"/>
        <w:ind w:left="720"/>
      </w:pPr>
      <w:r/>
      <w:hyperlink r:id="rId10">
        <w:r>
          <w:rPr>
            <w:color w:val="0000EE"/>
            <w:u w:val="single"/>
          </w:rPr>
          <w:t>https://www.itv.com/news/tyne-tees/2026-06-24/darlington-nurses-due-187000-in-damages-over-single-sex-changing-rooms-row</w:t>
        </w:r>
      </w:hyperlink>
      <w:r>
        <w:t xml:space="preserve"> - An employment tribunal in Newcastle ruled that seven nurses at Darlington Memorial Hospital suffered harassment by being required to share a female changing room with a trans colleague. The tribunal found that the NHS Trust violated the nurses' dignity, creating a hostile environment. The nurses are set to receive £187,000 in damages. This case highlights the challenges faced by healthcare workers in balancing inclusivity with the protection of single-sex spaces. The ruling has sparked discussions on workplace policies and the rights of staff members.</w:t>
      </w:r>
      <w:r/>
    </w:p>
    <w:p>
      <w:pPr>
        <w:pStyle w:val="ListNumber"/>
        <w:spacing w:line="240" w:lineRule="auto"/>
        <w:ind w:left="720"/>
      </w:pPr>
      <w:r/>
      <w:hyperlink r:id="rId12">
        <w:r>
          <w:rPr>
            <w:color w:val="0000EE"/>
            <w:u w:val="single"/>
          </w:rPr>
          <w:t>https://www.spiked-online.com/2026/01/20/how-the-darlington-nurses-were-betrayed-by-their-union/</w:t>
        </w:r>
      </w:hyperlink>
      <w:r>
        <w:t xml:space="preserve"> - The article discusses the Darlington nurses' legal victory against the NHS Trust over the use of single-sex changing rooms. It criticises trade unions for prioritising trans ideology over the rights of female members, highlighting the case of Sandie Peggie, who faced suspension after opposing the use of a female changing room by a trans doctor. The piece argues that unions have failed to protect their members' rights in such disputes, raising concerns about the balance between inclusivity and women's rights in the workplace.</w:t>
      </w:r>
      <w:r/>
    </w:p>
    <w:p>
      <w:pPr>
        <w:pStyle w:val="ListNumber"/>
        <w:spacing w:line="240" w:lineRule="auto"/>
        <w:ind w:left="720"/>
      </w:pPr>
      <w:r/>
      <w:hyperlink r:id="rId15">
        <w:r>
          <w:rPr>
            <w:color w:val="0000EE"/>
            <w:u w:val="single"/>
          </w:rPr>
          <w:t>https://apnews.com/article/1f00e523d76c4ca3b54d0b5908c2d693</w:t>
        </w:r>
      </w:hyperlink>
      <w:r>
        <w:t xml:space="preserve"> - Graham Linehan, co-creator of the sitcoms 'Father Ted' and 'The IT Crowd,' had his conviction for criminal damage overturned by Southwark Crown Court. Linehan was initially found guilty in November for damaging the phone of 17-year-old transgender activist Sophia Brooks during an October 2024 dispute in London. The court ruled that the evidence did not conclusively show Linehan caused the damage, especially since Brooks' initial complaint focused on harassment rather than property damage.</w:t>
      </w:r>
      <w:r/>
    </w:p>
    <w:p>
      <w:pPr>
        <w:pStyle w:val="ListNumber"/>
        <w:spacing w:line="240" w:lineRule="auto"/>
        <w:ind w:left="720"/>
      </w:pPr>
      <w:r/>
      <w:hyperlink r:id="rId13">
        <w:r>
          <w:rPr>
            <w:color w:val="0000EE"/>
            <w:u w:val="single"/>
          </w:rPr>
          <w:t>https://www.spiked-online.com/2025/06/15/we-were-forced-to-change-in-front-of-a-man/</w:t>
        </w:r>
      </w:hyperlink>
      <w:r>
        <w:t xml:space="preserve"> - The article highlights the experiences of eight nurses at Darlington Memorial Hospital who were compelled to share a changing room with a trans woman. The nurses allege that the trans colleague made them uncomfortable by staring and lingering during changing times. When they raised concerns about their privacy and dignity, they were reprimanded by human resources for not being inclusive. The piece discusses the broader implications of NHS policies on transgender inclusion and the rights of female staff members.</w:t>
      </w:r>
      <w:r/>
    </w:p>
    <w:p>
      <w:pPr>
        <w:pStyle w:val="ListNumber"/>
        <w:spacing w:line="240" w:lineRule="auto"/>
        <w:ind w:left="720"/>
      </w:pPr>
      <w:r/>
      <w:hyperlink r:id="rId14">
        <w:r>
          <w:rPr>
            <w:color w:val="0000EE"/>
            <w:u w:val="single"/>
          </w:rPr>
          <w:t>https://www.novaramedia.com/2026/01/23/what-does-the-darlington-nurses-case-mean-for-trans-people-experts-are-divided/</w:t>
        </w:r>
      </w:hyperlink>
      <w:r>
        <w:t xml:space="preserve"> - This article examines the Darlington nurses' discrimination case, where eight NHS nurses won a legal battle against their employer for being forced to share a changing room with a trans woman. The piece presents divided expert opinions on the implications of the case for transgender individuals, discussing the balance between transgender rights and the rights of cisgender women in single-sex spaces. It also explores the potential impact of the ruling on workplace policies and the broader societal debate on gender and inclusion.</w:t>
      </w:r>
      <w:r/>
    </w:p>
    <w:p>
      <w:pPr>
        <w:pStyle w:val="ListNumber"/>
        <w:spacing w:line="240" w:lineRule="auto"/>
        <w:ind w:left="720"/>
      </w:pPr>
      <w:r/>
      <w:hyperlink r:id="rId11">
        <w:r>
          <w:rPr>
            <w:color w:val="0000EE"/>
            <w:u w:val="single"/>
          </w:rPr>
          <w:t>https://www.thecourier.co.uk/fp/politics/5413376/sadie-peggie-darlington-nurses/</w:t>
        </w:r>
      </w:hyperlink>
      <w:r>
        <w:t xml:space="preserve"> - Fife nurse Sandie Peggie expressed her joy over the ruling in the Darlington nurses' case, which found that female staff at an English hospital were harassed for sharing a single-sex changing room with a trans doctor. Peggie, who faced similar challenges in her own case, praised the nurses for their courage and determination. The article highlights the broader issues surrounding single-sex spaces and the rights of women in the workplace, drawing parallels between Peggie's experience and the Darlington nurses' legal victory.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eeninjournalism.substack.com/p/when-journalism-becomes-captured" TargetMode="External"/><Relationship Id="rId10" Type="http://schemas.openxmlformats.org/officeDocument/2006/relationships/hyperlink" Target="https://www.itv.com/news/tyne-tees/2026-06-24/darlington-nurses-due-187000-in-damages-over-single-sex-changing-rooms-row" TargetMode="External"/><Relationship Id="rId11" Type="http://schemas.openxmlformats.org/officeDocument/2006/relationships/hyperlink" Target="https://www.thecourier.co.uk/fp/politics/5413376/sadie-peggie-darlington-nurses/" TargetMode="External"/><Relationship Id="rId12" Type="http://schemas.openxmlformats.org/officeDocument/2006/relationships/hyperlink" Target="https://www.spiked-online.com/2026/01/20/how-the-darlington-nurses-were-betrayed-by-their-union/" TargetMode="External"/><Relationship Id="rId13" Type="http://schemas.openxmlformats.org/officeDocument/2006/relationships/hyperlink" Target="https://www.spiked-online.com/2025/06/15/we-were-forced-to-change-in-front-of-a-man/" TargetMode="External"/><Relationship Id="rId14" Type="http://schemas.openxmlformats.org/officeDocument/2006/relationships/hyperlink" Target="https://www.novaramedia.com/2026/01/23/what-does-the-darlington-nurses-case-mean-for-trans-people-experts-are-divided/" TargetMode="External"/><Relationship Id="rId15" Type="http://schemas.openxmlformats.org/officeDocument/2006/relationships/hyperlink" Target="https://apnews.com/article/1f00e523d76c4ca3b54d0b5908c2d69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