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Childhood Shapes Gender Expression and Identity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often describe gender as if it arrives fully formed, but childhood can feel far messier. One woman’s memories of clothes, hair, playground discomfort and lesbian friendship show how identity and gender expression develop through family expectations, social reactions and personal choice, while research adds useful context without reducing anyone’s story to a tidy formula.</w:t>
      </w:r>
      <w:r/>
    </w:p>
    <w:p>
      <w:pPr>
        <w:pStyle w:val="Heading2"/>
      </w:pPr>
      <w:r>
        <w:t>Childhood rarely fits a neat gender script</w:t>
      </w:r>
      <w:r/>
    </w:p>
    <w:p>
      <w:r/>
      <w:r>
        <w:t>A child can know they’re a girl without enjoying the things adults associate with girls. They can also want dresses, long hair or attention while feeling entirely uninterested in behaving in a conventionally feminine way. That apparent contradiction is less a puzzle than a reminder that identity and expression are separate strands.</w:t>
      </w:r>
      <w:r/>
    </w:p>
    <w:p>
      <w:r/>
      <w:r>
        <w:t>Developmental research has long treated gender as something shaped through biology, relationships and social learning rather than a single childhood moment. The National Academies’ overview of gender development describes how children build an understanding of themselves alongside messages from family, peers and culture. In ordinary life, that can mean a haircut or a pair of shoes carries far more emotional weight than an adult might expect.</w:t>
      </w:r>
      <w:r/>
    </w:p>
    <w:p>
      <w:r/>
      <w:r>
        <w:t>The result is often wonderfully untidy. A child may reject one stereotype and embrace another, then change direction again.</w:t>
      </w:r>
      <w:r/>
    </w:p>
    <w:p>
      <w:pPr>
        <w:pStyle w:val="Heading2"/>
      </w:pPr>
      <w:r>
        <w:t>Clothes can become surprisingly powerful symbols</w:t>
      </w:r>
      <w:r/>
    </w:p>
    <w:p>
      <w:r/>
      <w:r>
        <w:t>The remembered denim overalls are funny and painful at once. They represented pride, novelty and a sense of looking right, but a burst of playground bad luck turned them into a bloodstained reminder that new clothes can feel almost precious when they’re rare.</w:t>
      </w:r>
      <w:r/>
    </w:p>
    <w:p>
      <w:r/>
      <w:r>
        <w:t>Family choices matter here, even when they’re made casually. Research on gender development and expression suggests that children receive repeated signals about what is suitable, attractive or expected, from the clothes they’re given to the activities they’re encouraged to try. Those signals don’t determine identity, but they can shape what feels available.</w:t>
      </w:r>
      <w:r/>
    </w:p>
    <w:p>
      <w:r/>
      <w:r>
        <w:t>That’s why the difference between wearing a sister’s hand-me-downs and receiving the item a child has specifically asked for can feel enormous. It isn’t simply about fabric. It’s about recognition.</w:t>
      </w:r>
      <w:r/>
    </w:p>
    <w:p>
      <w:pPr>
        <w:pStyle w:val="Heading2"/>
      </w:pPr>
      <w:r>
        <w:t>Hair carries its own social meaning</w:t>
      </w:r>
      <w:r/>
    </w:p>
    <w:p>
      <w:r/>
      <w:r>
        <w:t>Hair is one of the clearest ways children and teenagers test how the world sees them. A cut can feel imposed, while growing it out can become a small act of control. Later, cutting it short may feel liberating, even if other people immediately attach a label to the look.</w:t>
      </w:r>
      <w:r/>
    </w:p>
    <w:p>
      <w:r/>
      <w:r>
        <w:t>Studies of gender expression in adolescence and young adulthood show how appearance can become a way to communicate belonging, difference or changing self-understanding. Hair is especially potent because it’s visible, reversible and constantly commented on. A friend’s remark can therefore land as more than teasing: it can expose the assumptions attached to lesbian identity and presentation.</w:t>
      </w:r>
      <w:r/>
    </w:p>
    <w:p>
      <w:r/>
      <w:r>
        <w:t>The awkward bit is that attention isn’t always unwelcome, either. Enjoying being noticed doesn’t make someone less feminist, less queer or less self-aware. People can understand the power dynamics and still enjoy feeling attractive.</w:t>
      </w:r>
      <w:r/>
    </w:p>
    <w:p>
      <w:pPr>
        <w:pStyle w:val="Heading2"/>
      </w:pPr>
      <w:r>
        <w:t>Social reactions can teach children what feels safe</w:t>
      </w:r>
      <w:r/>
    </w:p>
    <w:p>
      <w:r/>
      <w:r>
        <w:t>The childhood party story reveals another layer. The distress came not only from the prank, but from being laughed at for reacting honestly. When adults or children treat fear as entertainment, they teach a child that their own interpretation of events may be unsafe to share.</w:t>
      </w:r>
      <w:r/>
    </w:p>
    <w:p>
      <w:r/>
      <w:r>
        <w:t>Research on childhood experiences and gender identity has explored how relationships, modelling and social feedback influence the ways people understand and express themselves. That doesn’t mean every difficult moment creates a later identity, nor that a single memory explains a person. It does mean that belonging, embarrassment and repeated correction can affect how freely someone experiments with presentation.</w:t>
      </w:r>
      <w:r/>
    </w:p>
    <w:p>
      <w:r/>
      <w:r>
        <w:t>A kinder response would have been simple: explain the joke, apologise for the fright and move on. Children don’t need every experience made serious, but they do need their feelings taken seriously.</w:t>
      </w:r>
      <w:r/>
    </w:p>
    <w:p>
      <w:pPr>
        <w:pStyle w:val="Heading2"/>
      </w:pPr>
      <w:r>
        <w:t>Identity is personal, while expression stays flexible</w:t>
      </w:r>
      <w:r/>
    </w:p>
    <w:p>
      <w:r/>
      <w:r>
        <w:t>The most useful lesson is that gender expression shouldn’t be treated as a diagnostic test. Short hair doesn’t prove someone is masculine. Long hair doesn’t prove someone is feminine. Climbing trees, wearing patent shoes or refusing a party game tells us something about preference, not a complete story about identity.</w:t>
      </w:r>
      <w:r/>
    </w:p>
    <w:p>
      <w:r/>
      <w:r>
        <w:t>Contemporary research on gender development, including work with transgender and gender-diverse young people, points towards a gradual, individual process. Milestones can vary widely, and people may understand themselves in stages, especially as new communities and language become available.</w:t>
      </w:r>
      <w:r/>
    </w:p>
    <w:p>
      <w:r/>
      <w:r>
        <w:t>That’s why childhood memories matter without needing to become evidence in a courtroom. They help explain the texture of a life: the clothes that felt special, the haircut that felt wrong, the friends who made a new version of the self possible. Sometimes identity is less like discovering a hidden label and more like finally finding a setting that lets you breathe.</w:t>
      </w:r>
      <w:r/>
    </w:p>
    <w:p>
      <w:r/>
      <w:r>
        <w:t>It’s worth leaving children room to be complicated, changeable and entirely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1">
        <w:r>
          <w:rPr>
            <w:color w:val="0000EE"/>
            <w:u w:val="single"/>
          </w:rPr>
          <w:t>[4]</w:t>
        </w:r>
      </w:hyperlink>
      <w:r>
        <w:t xml:space="preserve">- Paragraph 4: </w:t>
      </w:r>
      <w:hyperlink r:id="rId12">
        <w:r>
          <w:rPr>
            <w:color w:val="0000EE"/>
            <w:u w:val="single"/>
          </w:rPr>
          <w:t>[5]</w:t>
        </w:r>
      </w:hyperlink>
      <w:r>
        <w:t xml:space="preserve">, </w:t>
      </w:r>
      <w:hyperlink r:id="rId14">
        <w:r>
          <w:rPr>
            <w:color w:val="0000EE"/>
            <w:u w:val="single"/>
          </w:rPr>
          <w:t>[6]</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3">
        <w:r>
          <w:rPr>
            <w:color w:val="0000EE"/>
            <w:u w:val="single"/>
          </w:rPr>
          <w:t>[3]</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[3]</w:t>
        </w:r>
      </w:hyperlink>
      <w:r>
        <w:t xml:space="preserve">- Paragraph 10: </w:t>
      </w:r>
      <w:hyperlink r:id="rId11">
        <w:r>
          <w:rPr>
            <w:color w:val="0000EE"/>
            <w:u w:val="single"/>
          </w:rPr>
          <w:t>[4]</w:t>
        </w:r>
      </w:hyperlink>
      <w:r>
        <w:t xml:space="preserve">, </w:t>
      </w:r>
      <w:hyperlink r:id="rId12">
        <w:r>
          <w:rPr>
            <w:color w:val="0000EE"/>
            <w:u w:val="single"/>
          </w:rPr>
          <w:t>[5]</w:t>
        </w:r>
      </w:hyperlink>
      <w:r>
        <w:t xml:space="preserve">- Paragraph 11: </w:t>
      </w:r>
      <w:hyperlink r:id="rId13">
        <w:r>
          <w:rPr>
            <w:color w:val="0000EE"/>
            <w:u w:val="single"/>
          </w:rPr>
          <w:t>[3]</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[5]</w:t>
        </w:r>
      </w:hyperlink>
      <w:r>
        <w:t xml:space="preserve">, </w:t>
      </w:r>
      <w:hyperlink r:id="rId14">
        <w:r>
          <w:rPr>
            <w:color w:val="0000EE"/>
            <w:u w:val="single"/>
          </w:rPr>
          <w:t>[6]</w:t>
        </w:r>
      </w:hyperlink>
      <w:r>
        <w:t xml:space="preserve">- Paragraph 14: </w:t>
      </w:r>
      <w:hyperlink r:id="rId13">
        <w:r>
          <w:rPr>
            <w:color w:val="0000EE"/>
            <w:u w:val="single"/>
          </w:rPr>
          <w:t>[3]</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[5]</w:t>
        </w:r>
      </w:hyperlink>
      <w:r>
        <w:t xml:space="preserve">- Paragraph 16: </w:t>
      </w:r>
      <w:hyperlink r:id="rId11">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https://diahuizinga.substack.com/p/being-a-girl</w:t>
        </w:r>
      </w:hyperlink>
      <w:r>
        <w:t xml:space="preserve"> - Please view link - unable to able to access data</w:t>
      </w:r>
      <w:r/>
    </w:p>
    <w:p>
      <w:pPr>
        <w:pStyle w:val="ListNumber"/>
        <w:spacing w:line="240" w:lineRule="auto"/>
        <w:ind w:left="720"/>
      </w:pPr>
      <w:r/>
      <w:hyperlink r:id="rId10">
        <w:r>
          <w:rPr>
            <w:color w:val="0000EE"/>
            <w:u w:val="single"/>
          </w:rPr>
          <w:t>https://www.ncbi.nlm.nih.gov/books/NBK64808/?report=reader</w:t>
        </w:r>
      </w:hyperlink>
      <w:r>
        <w:t xml:space="preserve"> - This chapter from the book 'The Health of Lesbian, Gay, Bisexual, and Transgender People' discusses the development of gender identity and expression in children. It highlights that gender identity typically develops in early childhood, with many children verbalising their gender identity between 18–24 months. The chapter also notes that while gender variance is a part of normal development, a relatively small percentage of gender-variant children develop an adult transgender identity. The prevalence of childhood gender-variant identities is limited due to the lack of national databases collecting such data.</w:t>
      </w:r>
      <w:r/>
    </w:p>
    <w:p>
      <w:pPr>
        <w:pStyle w:val="ListNumber"/>
        <w:spacing w:line="240" w:lineRule="auto"/>
        <w:ind w:left="720"/>
      </w:pPr>
      <w:r/>
      <w:hyperlink r:id="rId13">
        <w:r>
          <w:rPr>
            <w:color w:val="0000EE"/>
            <w:u w:val="single"/>
          </w:rPr>
          <w:t>https://jamanetwork.com/journals/jamapediatrics/fullarticle/2832664</w:t>
        </w:r>
      </w:hyperlink>
      <w:r>
        <w:t xml:space="preserve"> - This study examines adolescent disparities in exposure to adverse childhood experiences (ACEs) by gender identity. It reports that transgender adolescents have higher prevalence rates of emotional abuse, physical abuse, sexual abuse, and household substance use compared to their cisgender peers. The study underscores the need for targeted interventions to address these disparities and support the well-being of transgender youth.</w:t>
      </w:r>
      <w:r/>
    </w:p>
    <w:p>
      <w:pPr>
        <w:pStyle w:val="ListNumber"/>
        <w:spacing w:line="240" w:lineRule="auto"/>
        <w:ind w:left="720"/>
      </w:pPr>
      <w:r/>
      <w:hyperlink r:id="rId11">
        <w:r>
          <w:rPr>
            <w:color w:val="0000EE"/>
            <w:u w:val="single"/>
          </w:rPr>
          <w:t>https://journals.sagepub.com/doi/10.1177/07435584211043879</w:t>
        </w:r>
      </w:hyperlink>
      <w:r>
        <w:t xml:space="preserve"> - This research explores how transgender adolescents experience expressing their gender identity around new people. Through semi-structured interviews with eight young people aged 16 to 17, the study identifies three main themes: using gender expression to shape identity, experiencing and making sense of others’ responses, and a changing relationship with gender expression. The findings highlight the importance of facilitating young people to express and be affirmed in their gender identity, and to provide adequate support with the social experiences surrounding it.</w:t>
      </w:r>
      <w:r/>
    </w:p>
    <w:p>
      <w:pPr>
        <w:pStyle w:val="ListNumber"/>
        <w:spacing w:line="240" w:lineRule="auto"/>
        <w:ind w:left="720"/>
      </w:pPr>
      <w:r/>
      <w:hyperlink r:id="rId12">
        <w:r>
          <w:rPr>
            <w:color w:val="0000EE"/>
            <w:u w:val="single"/>
          </w:rPr>
          <w:t>https://www.researchgate.net/publication/375668703_Examining_the_Role_of_Childhood_Experiences_in_Gender_Identity_and_Expression_An_Interpretative_Phenomenological_Analysis_Using_Social_Learning_Theory</w:t>
        </w:r>
      </w:hyperlink>
      <w:r>
        <w:t xml:space="preserve"> - This qualitative study examines the role of childhood experiences and memories in shaping individuals’ gender identities and expressions. Using social learning theory, the research focuses on individuals' retrospective accounts of their gender socialisation and its impact on their current understanding of gender. The study provides insights into how early experiences influence gender identity development and expression.</w:t>
      </w:r>
      <w:r/>
    </w:p>
    <w:p>
      <w:pPr>
        <w:pStyle w:val="ListNumber"/>
        <w:spacing w:line="240" w:lineRule="auto"/>
        <w:ind w:left="720"/>
      </w:pPr>
      <w:r/>
      <w:hyperlink r:id="rId14">
        <w:r>
          <w:rPr>
            <w:color w:val="0000EE"/>
            <w:u w:val="single"/>
          </w:rPr>
          <w:t>https://scholarworks.smith.edu/theses/1902/</w:t>
        </w:r>
      </w:hyperlink>
      <w:r>
        <w:t xml:space="preserve"> - This Master's thesis investigates the relationship between gender identity and adverse childhood experiences (ACEs). The study aims to contribute to the foundation of quantitative research on how childhood experiences interact with gender identity, examine the frequency of ACE scores relative to current gender identity, and provide insight into topics with acute need of further clinical exploration. Although the study does not yield statistically significant findings, it offers evidence supporting continued attention to gender identity and childhood experiences within clinical social work research.</w:t>
      </w:r>
      <w:r/>
    </w:p>
    <w:p>
      <w:pPr>
        <w:pStyle w:val="ListNumber"/>
        <w:spacing w:line="240" w:lineRule="auto"/>
        <w:ind w:left="720"/>
      </w:pPr>
      <w:r/>
      <w:hyperlink r:id="rId15">
        <w:r>
          <w:rPr>
            <w:color w:val="0000EE"/>
            <w:u w:val="single"/>
          </w:rPr>
          <w:t>https://pure.psu.edu/en/publications/male-to-female-transgender-youth-gender-expression-milestones-gen</w:t>
        </w:r>
      </w:hyperlink>
      <w:r>
        <w:t xml:space="preserve"> - This study focuses on male-to-female transgender youth, examining their gender identity, gender expression, gender atypicality, and parents' responses. The research finds that these youth felt, acted, and were told they were different between eight and nine years of age. Many were called sissies and told to change their behavior by parents; more gender-atypical youth reported childhood parental abuse. The study highlights the challenges faced by transgender youth in expressing their gender identity and the varied responses from parents.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ahuizinga.substack.com/p/being-a-girl" TargetMode="External"/><Relationship Id="rId10" Type="http://schemas.openxmlformats.org/officeDocument/2006/relationships/hyperlink" Target="https://www.ncbi.nlm.nih.gov/books/NBK64808/?report=reader" TargetMode="External"/><Relationship Id="rId11" Type="http://schemas.openxmlformats.org/officeDocument/2006/relationships/hyperlink" Target="https://journals.sagepub.com/doi/10.1177/07435584211043879" TargetMode="External"/><Relationship Id="rId12" Type="http://schemas.openxmlformats.org/officeDocument/2006/relationships/hyperlink" Target="https://www.researchgate.net/publication/375668703_Examining_the_Role_of_Childhood_Experiences_in_Gender_Identity_and_Expression_An_Interpretative_Phenomenological_Analysis_Using_Social_Learning_Theory" TargetMode="External"/><Relationship Id="rId13" Type="http://schemas.openxmlformats.org/officeDocument/2006/relationships/hyperlink" Target="https://jamanetwork.com/journals/jamapediatrics/fullarticle/2832664" TargetMode="External"/><Relationship Id="rId14" Type="http://schemas.openxmlformats.org/officeDocument/2006/relationships/hyperlink" Target="https://scholarworks.smith.edu/theses/1902/" TargetMode="External"/><Relationship Id="rId15" Type="http://schemas.openxmlformats.org/officeDocument/2006/relationships/hyperlink" Target="https://pure.psu.edu/en/publications/male-to-female-transgender-youth-gender-expression-milestones-g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