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Practical Guide to Transgender Employee Protections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Employers are balancing a firm Supreme Court protection with a fast-changing federal policy climate. For private businesses and federal contractors alike, transgender employee protections still matter under Title VII, while newer executive actions create fresh compliance questions. The safest approach is practical, universal workplace design that supports everyone without weakening anti-discrimination duties.</w:t>
      </w:r>
      <w:r/>
    </w:p>
    <w:p>
      <w:pPr>
        <w:pStyle w:val="Heading2"/>
      </w:pPr>
      <w:r>
        <w:t>Essential Takeaways</w:t>
      </w:r>
      <w:r/>
      <w:r/>
    </w:p>
    <w:p>
      <w:pPr>
        <w:pStyle w:val="ListBullet"/>
        <w:spacing w:line="240" w:lineRule="auto"/>
        <w:ind w:left="720"/>
      </w:pPr>
      <w:r/>
      <w:r>
        <w:rPr>
          <w:b/>
        </w:rPr>
        <w:t>Bostock still applies:</w:t>
      </w:r>
      <w:r>
        <w:t xml:space="preserve"> Title VII protects employees from discrimination because they're transgender.</w:t>
      </w:r>
      <w:r/>
    </w:p>
    <w:p>
      <w:pPr>
        <w:pStyle w:val="ListBullet"/>
        <w:spacing w:line="240" w:lineRule="auto"/>
        <w:ind w:left="720"/>
      </w:pPr>
      <w:r/>
      <w:r>
        <w:rPr>
          <w:b/>
        </w:rPr>
        <w:t>Contractors face extra scrutiny:</w:t>
      </w:r>
      <w:r>
        <w:t xml:space="preserve"> Federal funding recipients may need to review diversity programmes and policy language carefully.</w:t>
      </w:r>
      <w:r/>
    </w:p>
    <w:p>
      <w:pPr>
        <w:pStyle w:val="ListBullet"/>
        <w:spacing w:line="240" w:lineRule="auto"/>
        <w:ind w:left="720"/>
      </w:pPr>
      <w:r/>
      <w:r>
        <w:rPr>
          <w:b/>
        </w:rPr>
        <w:t>Universal policies help:</w:t>
      </w:r>
      <w:r>
        <w:t xml:space="preserve"> All-gender facilities, flexible name preferences and neutral dress codes can benefit a broad workforce.</w:t>
      </w:r>
      <w:r/>
    </w:p>
    <w:p>
      <w:pPr>
        <w:pStyle w:val="ListBullet"/>
        <w:spacing w:line="240" w:lineRule="auto"/>
        <w:ind w:left="720"/>
      </w:pPr>
      <w:r/>
      <w:r>
        <w:rPr>
          <w:b/>
        </w:rPr>
        <w:t>Training remains essential:</w:t>
      </w:r>
      <w:r>
        <w:t xml:space="preserve"> Managers should understand anti-discrimination and anti-retaliation obligations.</w:t>
      </w:r>
      <w:r/>
    </w:p>
    <w:p>
      <w:pPr>
        <w:pStyle w:val="ListBullet"/>
        <w:spacing w:line="240" w:lineRule="auto"/>
        <w:ind w:left="720"/>
      </w:pPr>
      <w:r/>
      <w:r>
        <w:rPr>
          <w:b/>
        </w:rPr>
        <w:t>Regular reviews matter:</w:t>
      </w:r>
      <w:r>
        <w:t xml:space="preserve"> This legal area is moving quickly, so policies shouldn't gather dust in a filing cabinet.</w:t>
      </w:r>
      <w:r/>
      <w:r/>
    </w:p>
    <w:p>
      <w:pPr>
        <w:pStyle w:val="Heading2"/>
      </w:pPr>
      <w:r>
        <w:t>The Supreme Court protection hasn't disappeared</w:t>
      </w:r>
      <w:r/>
    </w:p>
    <w:p>
      <w:r/>
      <w:r>
        <w:t>The central point is reassuringly clear. In Bostock v Clayton County, the Supreme Court held that firing someone for being transgender amounts to discrimination because of sex under Title VII of the Civil Rights Act 1964, according to the court's opinion.</w:t>
      </w:r>
      <w:r/>
    </w:p>
    <w:p>
      <w:r/>
      <w:r>
        <w:t>That ruling remains the legal foundation for transgender employee protections in the workplace. In practical terms, employers can't treat a person's transgender status as a reason to dismiss, disadvantage or retaliate against them. It also means anti-discrimination policies should say plainly that gender identity or expression is protected.</w:t>
      </w:r>
      <w:r/>
    </w:p>
    <w:p>
      <w:r/>
      <w:r>
        <w:t>For employees, that clarity matters. For employers, it means that changing political language doesn't remove the need for respectful, consistent workplace rules.</w:t>
      </w:r>
      <w:r/>
    </w:p>
    <w:p>
      <w:pPr>
        <w:pStyle w:val="Heading2"/>
      </w:pPr>
      <w:r>
        <w:t>Why federal contractors are facing a trickier calculation</w:t>
      </w:r>
      <w:r/>
    </w:p>
    <w:p>
      <w:r/>
      <w:r>
        <w:t>The complication comes from the gap between established employment law and newer federal priorities. The White House's January 2025 statement on Executive Order 14168 described a policy focused on recognising two biological sexes and removing federal policies said to promote gender ideology.</w:t>
      </w:r>
      <w:r/>
    </w:p>
    <w:p>
      <w:r/>
      <w:r>
        <w:t>A separate statement on Executive Order 14173, issued the following day, addressed diversity, equity and inclusion programmes and directed attention towards practices the administration considers unlawful. That doesn't erase Bostock, but it does create a more complicated risk assessment for companies receiving federal money.</w:t>
      </w:r>
      <w:r/>
    </w:p>
    <w:p>
      <w:r/>
      <w:r>
        <w:t>The issue is particularly sensitive where an employer's inclusive programme could be portrayed as an identity-specific initiative. Legal analysis from Husch Blackwell notes that federal contractors may need to consider possible funding, enforcement and False Claims Act exposure when reviewing such programmes. In other words, the wording of a policy can suddenly matter almost as much as its intention.</w:t>
      </w:r>
      <w:r/>
    </w:p>
    <w:p>
      <w:pPr>
        <w:pStyle w:val="Heading2"/>
      </w:pPr>
      <w:r>
        <w:t>Universal design offers a calmer route forward</w:t>
      </w:r>
      <w:r/>
    </w:p>
    <w:p>
      <w:r/>
      <w:r>
        <w:t>One useful answer is universal design: create workplace arrangements that help many people rather than presenting support as a benefit reserved for one identity group. It's the same logic behind captions, which help people with hearing loss but are also handy in a noisy office.</w:t>
      </w:r>
      <w:r/>
    </w:p>
    <w:p>
      <w:r/>
      <w:r>
        <w:t>Facilities show how this can work. A single-occupancy or all-gender restroom can support a parent helping a child, an employee who needs privacy, someone using an assistive device and a transgender colleague. It feels practical rather than theatrical, which is often exactly what good workplace design should be.</w:t>
      </w:r>
      <w:r/>
    </w:p>
    <w:p>
      <w:r/>
      <w:r>
        <w:t>The same thinking can apply to names and pronouns. A company-wide policy asking every employee what they'd like to be called can cover nicknames, shortened names and affirmed names without singling anyone out. That broad approach may also be easier to explain and apply consistently.</w:t>
      </w:r>
      <w:r/>
    </w:p>
    <w:p>
      <w:pPr>
        <w:pStyle w:val="Heading2"/>
      </w:pPr>
      <w:r>
        <w:t>A practical compliance checklist for employers</w:t>
      </w:r>
      <w:r/>
    </w:p>
    <w:p>
      <w:r/>
      <w:r>
        <w:t>Start with the basics. Review anti-discrimination and anti-harassment policies, make sure gender identity or expression is expressly covered, and train managers not to tolerate harassment or retaliation. The Department of Justice's enforcement materials underline the importance of applying federal civil rights protections consistently.</w:t>
      </w:r>
      <w:r/>
    </w:p>
    <w:p>
      <w:r/>
      <w:r>
        <w:t>Then look at everyday details. Dress codes should be gender neutral and free from unnecessary stereotypes. Benefits teams should check whether coverage contains exclusions affecting medically necessary care, while facilities teams can assess whether single-occupancy options are feasible.</w:t>
      </w:r>
      <w:r/>
    </w:p>
    <w:p>
      <w:r/>
      <w:r>
        <w:t>Employee resource groups deserve a careful review, too. Opening them to all employees can make them more broadly accessible, while an audit conducted with legal advice may identify programmes that could be reframed for a wider audience. Husch Blackwell's guidance recommends keeping counsel involved, particularly where federal funding is at stake.</w:t>
      </w:r>
      <w:r/>
    </w:p>
    <w:p>
      <w:pPr>
        <w:pStyle w:val="Heading2"/>
      </w:pPr>
      <w:r>
        <w:t>The best policy is one people can actually use</w:t>
      </w:r>
      <w:r/>
    </w:p>
    <w:p>
      <w:r/>
      <w:r>
        <w:t>Legal compliance isn't only about drafting elegant wording. Employees need to know whom to contact, managers need usable guidance and HR teams need a consistent process for names, complaints, records and workplace adjustments.</w:t>
      </w:r>
      <w:r/>
    </w:p>
    <w:p>
      <w:r/>
      <w:r>
        <w:t>That means reviewing policies on a regular timetable rather than waiting for the next headline. The Supreme Court's decision provides a durable legal anchor, while federal enforcement priorities may continue to shift around it. For employers, the sensible balance is straightforward: protect people from discrimination, design policies for everyone and document the reasoning behind key decisions.</w:t>
      </w:r>
      <w:r/>
    </w:p>
    <w:p>
      <w:r/>
      <w:r>
        <w:t>A workplace shouldn't require employees to become experts in constitutional law just to feel safe at work. Clear rules and ordinary courtesy still go a surprisingly long way.</w:t>
      </w:r>
      <w:r/>
    </w:p>
    <w:p>
      <w:r/>
      <w:r>
        <w:t>The safest path is inclusive, consistent and broad enough to work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3">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4">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5">
        <w:r>
          <w:rPr>
            <w:color w:val="0000EE"/>
            <w:u w:val="single"/>
          </w:rPr>
          <w:t>[5]</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https://www.lexblog.com/2026/09/14/navigating-employment-protections-for-transgender-employees-in-a-shifting-legal-landscape-practical-guidance-for-employers/</w:t>
        </w:r>
      </w:hyperlink>
      <w:r>
        <w:t xml:space="preserve"> - Please view link - unable to able to access data</w:t>
      </w:r>
      <w:r/>
    </w:p>
    <w:p>
      <w:pPr>
        <w:pStyle w:val="ListNumber"/>
        <w:spacing w:line="240" w:lineRule="auto"/>
        <w:ind w:left="720"/>
      </w:pPr>
      <w:r/>
      <w:hyperlink r:id="rId10">
        <w:r>
          <w:rPr>
            <w:color w:val="0000EE"/>
            <w:u w:val="single"/>
          </w:rPr>
          <w:t>https://www.supremecourt.gov/opinions/19pdf/17-1618_hfci.pdf</w:t>
        </w:r>
      </w:hyperlink>
      <w:r>
        <w:t xml:space="preserve"> - The Supreme Court's decision in Bostock v. Clayton County held that Title VII of the Civil Rights Act of 1964 prohibits employment discrimination based on sexual orientation and gender identity. The Court reasoned that firing an individual for being gay or transgender inherently involves discrimination 'because of sex,' which is unlawful under Title VII. This landmark ruling extended workplace protections to LGBTQ+ employees across the United States.</w:t>
      </w:r>
      <w:r/>
    </w:p>
    <w:p>
      <w:pPr>
        <w:pStyle w:val="ListNumber"/>
        <w:spacing w:line="240" w:lineRule="auto"/>
        <w:ind w:left="720"/>
      </w:pPr>
      <w:r/>
      <w:hyperlink r:id="rId11">
        <w:r>
          <w:rPr>
            <w:color w:val="0000EE"/>
            <w:u w:val="single"/>
          </w:rPr>
          <w:t>https://www.whitehouse.gov/briefing-room/statements-releases/2025/01/20/statement-from-the-press-secretary-on-executive-order-14168/</w:t>
        </w:r>
      </w:hyperlink>
      <w:r>
        <w:t xml:space="preserve"> - Executive Order 14168, issued on January 20, 2025, declared federal policy to recognise only two biological sexes and directed federal agencies to remove policies that 'promote gender ideology.' This order introduced new compliance considerations for employers, particularly federal contractors, by potentially categorising certain inclusive workplace practices as promoting 'gender ideology.'</w:t>
      </w:r>
      <w:r/>
    </w:p>
    <w:p>
      <w:pPr>
        <w:pStyle w:val="ListNumber"/>
        <w:spacing w:line="240" w:lineRule="auto"/>
        <w:ind w:left="720"/>
      </w:pPr>
      <w:r/>
      <w:hyperlink r:id="rId12">
        <w:r>
          <w:rPr>
            <w:color w:val="0000EE"/>
            <w:u w:val="single"/>
          </w:rPr>
          <w:t>https://www.whitehouse.gov/briefing-room/statements-releases/2025/01/21/statement-from-the-press-secretary-on-executive-order-14173/</w:t>
        </w:r>
      </w:hyperlink>
      <w:r>
        <w:t xml:space="preserve"> - Executive Order 14173, issued on January 21, 2025, required federal contractors to certify that they do not operate programs the administration considers 'illegal DEI.' This order aimed to enforce compliance with the administration's stance on diversity, equity, and inclusion initiatives, impacting federal contractors' workplace policies.</w:t>
      </w:r>
      <w:r/>
    </w:p>
    <w:p>
      <w:pPr>
        <w:pStyle w:val="ListNumber"/>
        <w:spacing w:line="240" w:lineRule="auto"/>
        <w:ind w:left="720"/>
      </w:pPr>
      <w:r/>
      <w:hyperlink r:id="rId15">
        <w:r>
          <w:rPr>
            <w:color w:val="0000EE"/>
            <w:u w:val="single"/>
          </w:rPr>
          <w:t>https://www.justice.gov/opa/press-release/file/1301231/download</w:t>
        </w:r>
      </w:hyperlink>
      <w:r>
        <w:t xml:space="preserve"> - In July 2025, the Department of Justice issued additional guidance, known as the Bondi Memo, identifying five categories of conduct that it views as unlawfully discriminatory DEI. This guidance provided clarity on the administration's interpretation of diversity, equity, and inclusion practices, affecting how federal contractors and other employers design their workplace policies.</w:t>
      </w:r>
      <w:r/>
    </w:p>
    <w:p>
      <w:pPr>
        <w:pStyle w:val="ListNumber"/>
        <w:spacing w:line="240" w:lineRule="auto"/>
        <w:ind w:left="720"/>
      </w:pPr>
      <w:r/>
      <w:hyperlink r:id="rId13">
        <w:r>
          <w:rPr>
            <w:color w:val="0000EE"/>
            <w:u w:val="single"/>
          </w:rPr>
          <w:t>https://www.huschblackwell.com/insights/blog/legal-perspectives/2025/07/legal-perspectives-on-executive-order-14173-dei-and-the-false-claims-act</w:t>
        </w:r>
      </w:hyperlink>
      <w:r>
        <w:t xml:space="preserve"> - This article analyses Executive Order 14173, which required federal contractors to certify that they do not operate programs the administration considers 'illegal DEI.' It discusses the implications of the order, particularly concerning the False Claims Act, and offers guidance for employers navigating the new compliance landscape.</w:t>
      </w:r>
      <w:r/>
    </w:p>
    <w:p>
      <w:pPr>
        <w:pStyle w:val="ListNumber"/>
        <w:spacing w:line="240" w:lineRule="auto"/>
        <w:ind w:left="720"/>
      </w:pPr>
      <w:r/>
      <w:hyperlink r:id="rId14">
        <w:r>
          <w:rPr>
            <w:color w:val="0000EE"/>
            <w:u w:val="single"/>
          </w:rPr>
          <w:t>https://www.huschblackwell.com/insights/blog/legal-perspectives/2025/07/doj-issues-sweeping-guidance-on-illegal-dei-key-legal-risks-and-compliance-priorities-for-federal-funds-recipients</w:t>
        </w:r>
      </w:hyperlink>
      <w:r>
        <w:t xml:space="preserve"> - This article examines the Department of Justice's Bondi Memo, which identified five categories of conduct deemed unlawfully discriminatory DEI. It outlines the legal risks and compliance priorities for employers, especially those receiving federal funds, in light of the DOJ's sweeping guidance on 'illegal DEI'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xblog.com/2026/09/14/navigating-employment-protections-for-transgender-employees-in-a-shifting-legal-landscape-practical-guidance-for-employers/" TargetMode="External"/><Relationship Id="rId10" Type="http://schemas.openxmlformats.org/officeDocument/2006/relationships/hyperlink" Target="https://www.supremecourt.gov/opinions/19pdf/17-1618_hfci.pdf" TargetMode="External"/><Relationship Id="rId11" Type="http://schemas.openxmlformats.org/officeDocument/2006/relationships/hyperlink" Target="https://www.whitehouse.gov/briefing-room/statements-releases/2025/01/20/statement-from-the-press-secretary-on-executive-order-14168/" TargetMode="External"/><Relationship Id="rId12" Type="http://schemas.openxmlformats.org/officeDocument/2006/relationships/hyperlink" Target="https://www.whitehouse.gov/briefing-room/statements-releases/2025/01/21/statement-from-the-press-secretary-on-executive-order-14173/" TargetMode="External"/><Relationship Id="rId13" Type="http://schemas.openxmlformats.org/officeDocument/2006/relationships/hyperlink" Target="https://www.huschblackwell.com/insights/blog/legal-perspectives/2025/07/legal-perspectives-on-executive-order-14173-dei-and-the-false-claims-act" TargetMode="External"/><Relationship Id="rId14" Type="http://schemas.openxmlformats.org/officeDocument/2006/relationships/hyperlink" Target="https://www.huschblackwell.com/insights/blog/legal-perspectives/2025/07/doj-issues-sweeping-guidance-on-illegal-dei-key-legal-risks-and-compliance-priorities-for-federal-funds-recipients" TargetMode="External"/><Relationship Id="rId15" Type="http://schemas.openxmlformats.org/officeDocument/2006/relationships/hyperlink" Target="https://www.justice.gov/opa/press-release/file/1301231/downlo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