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Colorado doctors challenge gender-transition mandate in federal lawsuit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 federal case in Colorado is putting medical judgement, religious liberty and gender-transition care at the centre of a major legal dispute. Christian doctors and a family clinic say state rules could force them to provide treatments they oppose, while Colorado’s legal position raises wider questions about access, professional duties and free speech.</w:t>
      </w:r>
      <w:r/>
    </w:p>
    <w:p>
      <w:pPr>
        <w:pStyle w:val="Heading2"/>
      </w:pPr>
      <w:r>
        <w:t>Essential Takeaways</w:t>
      </w:r>
      <w:r/>
      <w:r/>
    </w:p>
    <w:p>
      <w:pPr>
        <w:pStyle w:val="ListBullet"/>
        <w:spacing w:line="240" w:lineRule="auto"/>
        <w:ind w:left="720"/>
      </w:pPr>
      <w:r/>
      <w:r>
        <w:rPr>
          <w:b/>
        </w:rPr>
        <w:t>The lawsuit:</w:t>
      </w:r>
      <w:r>
        <w:t xml:space="preserve"> Christian Medical &amp; Dental Associations and a Colorado family practice have sued the state in federal court.</w:t>
      </w:r>
      <w:r/>
    </w:p>
    <w:p>
      <w:pPr>
        <w:pStyle w:val="ListBullet"/>
        <w:spacing w:line="240" w:lineRule="auto"/>
        <w:ind w:left="720"/>
      </w:pPr>
      <w:r/>
      <w:r>
        <w:rPr>
          <w:b/>
        </w:rPr>
        <w:t>The disputed rule:</w:t>
      </w:r>
      <w:r>
        <w:t xml:space="preserve"> Plaintiffs say anti-discrimination requirements could oblige providers to offer gender-transition medication or procedures.</w:t>
      </w:r>
      <w:r/>
    </w:p>
    <w:p>
      <w:pPr>
        <w:pStyle w:val="ListBullet"/>
        <w:spacing w:line="240" w:lineRule="auto"/>
        <w:ind w:left="720"/>
      </w:pPr>
      <w:r/>
      <w:r>
        <w:rPr>
          <w:b/>
        </w:rPr>
        <w:t>Free-speech concern:</w:t>
      </w:r>
      <w:r>
        <w:t xml:space="preserve"> The complaint also challenges restrictions on how doctors explain refusals publicly.</w:t>
      </w:r>
      <w:r/>
    </w:p>
    <w:p>
      <w:pPr>
        <w:pStyle w:val="ListBullet"/>
        <w:spacing w:line="240" w:lineRule="auto"/>
        <w:ind w:left="720"/>
      </w:pPr>
      <w:r/>
      <w:r>
        <w:rPr>
          <w:b/>
        </w:rPr>
        <w:t>Wider debate:</w:t>
      </w:r>
      <w:r>
        <w:t xml:space="preserve"> The case sits within a national argument over treatment standards, religious freedom and healthcare access.</w:t>
      </w:r>
      <w:r/>
    </w:p>
    <w:p>
      <w:pPr>
        <w:pStyle w:val="ListBullet"/>
        <w:spacing w:line="240" w:lineRule="auto"/>
        <w:ind w:left="720"/>
      </w:pPr>
      <w:r/>
      <w:r>
        <w:rPr>
          <w:b/>
        </w:rPr>
        <w:t>What happens next:</w:t>
      </w:r>
      <w:r>
        <w:t xml:space="preserve"> The federal court will decide whether the challenge can proceed and whether any relief is justified.</w:t>
      </w:r>
      <w:r/>
      <w:r/>
    </w:p>
    <w:p>
      <w:pPr>
        <w:pStyle w:val="Heading2"/>
      </w:pPr>
      <w:r>
        <w:t>Doctors say Colorado rules cross a professional line</w:t>
      </w:r>
      <w:r/>
    </w:p>
    <w:p>
      <w:r/>
      <w:r>
        <w:t>The dispute began in a courtroom, but its practical impact could be felt in consulting rooms across Colorado. The Christian Medical &amp; Dental Associations and Button Family Practice, a small-town clinic, argue that the state is requiring clinicians to provide gender-transition services even when they believe doing so conflicts with their faith, ethics or medical assessment.</w:t>
      </w:r>
      <w:r/>
    </w:p>
    <w:p>
      <w:r/>
      <w:r>
        <w:t>According to Colorado Politics, the plaintiffs are represented by Alliance Defending Freedom and are seeking relief in the US District Court for the District of Colorado. The case names state officials and challenges how Colorado's anti-discrimination law has been interpreted.</w:t>
      </w:r>
      <w:r/>
    </w:p>
    <w:p>
      <w:r/>
      <w:r>
        <w:t>At heart, this isn't simply an argument about paperwork. It's about who gets the final say when a patient's request, a doctor's conscience and a state's equality rules point in different directions.</w:t>
      </w:r>
      <w:r/>
    </w:p>
    <w:p>
      <w:pPr>
        <w:pStyle w:val="Heading2"/>
      </w:pPr>
      <w:r>
        <w:t>Why the legal interpretation matters</w:t>
      </w:r>
      <w:r/>
    </w:p>
    <w:p>
      <w:r/>
      <w:r>
        <w:t>The plaintiffs say recent decisions by Colorado courts have broadened the reach of the state's law. In their view, a doctor who provides hormones or performs procedures for other medical reasons could be expected to offer gender-transition treatments too, including for children and adults.</w:t>
      </w:r>
      <w:r/>
    </w:p>
    <w:p>
      <w:r/>
      <w:r>
        <w:t>Rocky Mountain Voice reported that the lawsuit frames this as compelled participation rather than a routine refusal-of-service dispute. That distinction will matter: courts often examine whether a law regulates commercial conduct, professional speech, or both.</w:t>
      </w:r>
      <w:r/>
    </w:p>
    <w:p>
      <w:r/>
      <w:r>
        <w:t>The case also challenges restrictions on explaining refusals on websites or to the public. For a small clinic, that could create an awkward choice between accepting patients it cannot treat and saying too little about its position. Neither option feels especially workable for a practice trying to avoid surprises at the front desk.</w:t>
      </w:r>
      <w:r/>
    </w:p>
    <w:p>
      <w:pPr>
        <w:pStyle w:val="Heading2"/>
      </w:pPr>
      <w:r>
        <w:t>The evidence debate is now part of the courtroom fight</w:t>
      </w:r>
      <w:r/>
    </w:p>
    <w:p>
      <w:r/>
      <w:r>
        <w:t>The lawsuit argues that major reviews have not established dependable benefits for gender-transition interventions and that significant risks remain. It also points to restrictions introduced in several US states and European countries, particularly around treatment for children.</w:t>
      </w:r>
      <w:r/>
    </w:p>
    <w:p>
      <w:r/>
      <w:r>
        <w:t>That claim should be treated as a contested position, not a settled medical conclusion. A review published through the National Library of Medicine examined evidence and policy debates surrounding gender-affirming care, illustrating how complicated the research base and interpretation can be.</w:t>
      </w:r>
      <w:r/>
    </w:p>
    <w:p>
      <w:r/>
      <w:r>
        <w:t>The bigger picture is unusually polarised. Supporters of access emphasise individual autonomy and the need for clinically appropriate care, while opponents focus on uncertainty, safeguarding and long-term consequences. The federal court won't resolve every medical disagreement, but its reasoning could influence how future challenges are framed.</w:t>
      </w:r>
      <w:r/>
    </w:p>
    <w:p>
      <w:pPr>
        <w:pStyle w:val="Heading2"/>
      </w:pPr>
      <w:r>
        <w:t>Religious freedom meets patient access</w:t>
      </w:r>
      <w:r/>
    </w:p>
    <w:p>
      <w:r/>
      <w:r>
        <w:t>The Christian Medical &amp; Dental Associations says its members aim to practise consistently with their religious convictions. Button Family Practice, meanwhile, is described as a family-owned clinic serving a rural community in southern Colorado.</w:t>
      </w:r>
      <w:r/>
    </w:p>
    <w:p>
      <w:r/>
      <w:r>
        <w:t>The ADF argued in its public materials that doctors shouldn't be compelled to provide treatments they believe violate their oath or conscience. KLZ Radio similarly described the case as a challenge brought on behalf of Christian clinicians who say the law leaves them vulnerable to prosecution.</w:t>
      </w:r>
      <w:r/>
    </w:p>
    <w:p>
      <w:r/>
      <w:r>
        <w:t>For patients, however, the question is more immediate: can they find appropriate care without being turned away or sent on a frustrating search elsewhere? A workable system may need clear referral pathways, transparent provider information and firm safeguards against discrimination. Otherwise, the legal principle may be clear while the patient experience remains messy.</w:t>
      </w:r>
      <w:r/>
    </w:p>
    <w:p>
      <w:pPr>
        <w:pStyle w:val="Heading2"/>
      </w:pPr>
      <w:r>
        <w:t>What to watch as the case moves forward</w:t>
      </w:r>
      <w:r/>
    </w:p>
    <w:p>
      <w:r/>
      <w:r>
        <w:t>The early stages will likely focus on jurisdiction, the precise meaning of Colorado's law and whether the plaintiffs can show a credible threat of enforcement. The court may also have to weigh the difference between being required to provide a service and being required to communicate about it.</w:t>
      </w:r>
      <w:r/>
    </w:p>
    <w:p>
      <w:r/>
      <w:r>
        <w:t>ADF Media's case materials identify the federal action as Christian Medical &amp; Dental Associations v. Sullivan. Shaun Pearman of Pearman Law Firm is acting as local counsel, while the plaintiffs' broader legal team is handling the constitutional challenge.</w:t>
      </w:r>
      <w:r/>
    </w:p>
    <w:p>
      <w:r/>
      <w:r>
        <w:t>For now, this is a lawsuit, not a final ruling on Colorado's policy. Still, it could become an important test of how far states may go to enforce equal access in healthcare, and where professional conscience begins. For doctors, patients and policymakers alike, that boundary is no academic detail.</w:t>
      </w:r>
      <w:r/>
    </w:p>
    <w:p>
      <w:r/>
      <w:r>
        <w:t>The case could shape how Colorado balances equal access with medical and religious conscience.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[6]</w:t>
        </w:r>
      </w:hyperlink>
      <w:r>
        <w:t xml:space="preserve">- Paragraph 3: </w:t>
      </w:r>
      <w:hyperlink r:id="rId13">
        <w:r>
          <w:rPr>
            <w:color w:val="0000EE"/>
            <w:u w:val="single"/>
          </w:rPr>
          <w:t>[4]</w:t>
        </w:r>
      </w:hyperlink>
      <w:r>
        <w:t xml:space="preserve">, </w:t>
      </w:r>
      <w:hyperlink r:id="rId14">
        <w:r>
          <w:rPr>
            <w:color w:val="0000EE"/>
            <w:u w:val="single"/>
          </w:rPr>
          <w:t>[5]</w:t>
        </w:r>
      </w:hyperlink>
      <w:r>
        <w:t xml:space="preserve">- Paragraph 4: </w:t>
      </w:r>
      <w:hyperlink r:id="rId11">
        <w:r>
          <w:rPr>
            <w:color w:val="0000EE"/>
            <w:u w:val="single"/>
          </w:rPr>
          <w:t>[3]</w:t>
        </w:r>
      </w:hyperlink>
      <w:r>
        <w:t xml:space="preserve">, </w:t>
      </w:r>
      <w:hyperlink r:id="rId12">
        <w:r>
          <w:rPr>
            <w:color w:val="0000EE"/>
            <w:u w:val="single"/>
          </w:rPr>
          <w:t>[6]</w:t>
        </w:r>
      </w:hyperlink>
      <w:r>
        <w:t xml:space="preserve">- Paragraph 5: </w:t>
      </w:r>
      <w:hyperlink r:id="rId14">
        <w:r>
          <w:rPr>
            <w:color w:val="0000EE"/>
            <w:u w:val="single"/>
          </w:rPr>
          <w:t>[5]</w:t>
        </w:r>
      </w:hyperlink>
      <w:r>
        <w:t xml:space="preserve">, </w:t>
      </w:r>
      <w:hyperlink r:id="rId13">
        <w:r>
          <w:rPr>
            <w:color w:val="0000EE"/>
            <w:u w:val="single"/>
          </w:rPr>
          <w:t>[4]</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2">
        <w:r>
          <w:rPr>
            <w:color w:val="0000EE"/>
            <w:u w:val="single"/>
          </w:rPr>
          <w:t>[6]</w:t>
        </w:r>
      </w:hyperlink>
      <w:r>
        <w:t xml:space="preserve">, </w:t>
      </w:r>
      <w:hyperlink r:id="rId13">
        <w:r>
          <w:rPr>
            <w:color w:val="0000EE"/>
            <w:u w:val="single"/>
          </w:rPr>
          <w:t>[4]</w:t>
        </w:r>
      </w:hyperlink>
      <w:r>
        <w:t xml:space="preserve">- Paragraph 8: </w:t>
      </w:r>
      <w:hyperlink r:id="rId14">
        <w:r>
          <w:rPr>
            <w:color w:val="0000EE"/>
            <w:u w:val="single"/>
          </w:rPr>
          <w:t>[5]</w:t>
        </w:r>
      </w:hyperlink>
      <w:r>
        <w:t xml:space="preserve">, </w:t>
      </w:r>
      <w:hyperlink r:id="rId10">
        <w:r>
          <w:rPr>
            <w:color w:val="0000EE"/>
            <w:u w:val="single"/>
          </w:rPr>
          <w:t>[2]</w:t>
        </w:r>
      </w:hyperlink>
      <w:r>
        <w:t xml:space="preserve">- Paragraph 9: </w:t>
      </w:r>
      <w:hyperlink r:id="rId11">
        <w:r>
          <w:rPr>
            <w:color w:val="0000EE"/>
            <w:u w:val="single"/>
          </w:rPr>
          <w:t>[3]</w:t>
        </w:r>
      </w:hyperlink>
      <w:r>
        <w:t xml:space="preserve">, </w:t>
      </w:r>
      <w:hyperlink r:id="rId12">
        <w:r>
          <w:rPr>
            <w:color w:val="0000EE"/>
            <w:u w:val="single"/>
          </w:rPr>
          <w:t>[6]</w:t>
        </w:r>
      </w:hyperlink>
      <w:r>
        <w:t xml:space="preserve">- Paragraph 10: </w:t>
      </w:r>
      <w:hyperlink r:id="rId13">
        <w:r>
          <w:rPr>
            <w:color w:val="0000EE"/>
            <w:u w:val="single"/>
          </w:rPr>
          <w:t>[4]</w:t>
        </w:r>
      </w:hyperlink>
      <w:r>
        <w:t xml:space="preserve">, </w:t>
      </w:r>
      <w:hyperlink r:id="rId10">
        <w:r>
          <w:rPr>
            <w:color w:val="0000EE"/>
            <w:u w:val="single"/>
          </w:rPr>
          <w:t>[2]</w:t>
        </w:r>
      </w:hyperlink>
      <w:r>
        <w:t xml:space="preserve">- Paragraph 11: </w:t>
      </w:r>
      <w:hyperlink r:id="rId12">
        <w:r>
          <w:rPr>
            <w:color w:val="0000EE"/>
            <w:u w:val="single"/>
          </w:rPr>
          <w:t>[6]</w:t>
        </w:r>
      </w:hyperlink>
      <w:r>
        <w:t xml:space="preserve">, </w:t>
      </w:r>
      <w:hyperlink r:id="rId11">
        <w:r>
          <w:rPr>
            <w:color w:val="0000EE"/>
            <w:u w:val="single"/>
          </w:rPr>
          <w:t>[3]</w:t>
        </w:r>
      </w:hyperlink>
      <w:r>
        <w:t xml:space="preserve">- Paragraph 12: </w:t>
      </w:r>
      <w:hyperlink r:id="rId13">
        <w:r>
          <w:rPr>
            <w:color w:val="0000EE"/>
            <w:u w:val="single"/>
          </w:rPr>
          <w:t>[4]</w:t>
        </w:r>
      </w:hyperlink>
      <w:r>
        <w:t xml:space="preserve">, </w:t>
      </w:r>
      <w:hyperlink r:id="rId10">
        <w:r>
          <w:rPr>
            <w:color w:val="0000EE"/>
            <w:u w:val="single"/>
          </w:rPr>
          <w:t>[2]</w:t>
        </w:r>
      </w:hyperlink>
      <w:r>
        <w:t xml:space="preserve">- Paragraph 13: </w:t>
      </w:r>
      <w:hyperlink r:id="rId11">
        <w:r>
          <w:rPr>
            <w:color w:val="0000EE"/>
            <w:u w:val="single"/>
          </w:rPr>
          <w:t>[3]</w:t>
        </w:r>
      </w:hyperlink>
      <w:r>
        <w:t xml:space="preserve">, </w:t>
      </w:r>
      <w:hyperlink r:id="rId12">
        <w:r>
          <w:rPr>
            <w:color w:val="0000EE"/>
            <w:u w:val="single"/>
          </w:rPr>
          <w:t>[6]</w:t>
        </w:r>
      </w:hyperlink>
      <w:r>
        <w:t xml:space="preserve">- Paragraph 14: </w:t>
      </w:r>
      <w:hyperlink r:id="rId10">
        <w:r>
          <w:rPr>
            <w:color w:val="0000EE"/>
            <w:u w:val="single"/>
          </w:rPr>
          <w:t>[2]</w:t>
        </w:r>
      </w:hyperlink>
      <w:r>
        <w:t xml:space="preserve">, </w:t>
      </w:r>
      <w:hyperlink r:id="rId13">
        <w:r>
          <w:rPr>
            <w:color w:val="0000EE"/>
            <w:u w:val="single"/>
          </w:rPr>
          <w:t>[4]</w:t>
        </w:r>
      </w:hyperlink>
      <w:r>
        <w:t xml:space="preserve">- Paragraph 15: </w:t>
      </w:r>
      <w:hyperlink r:id="rId11">
        <w:r>
          <w:rPr>
            <w:color w:val="0000EE"/>
            <w:u w:val="single"/>
          </w:rPr>
          <w:t>[3]</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https://zenit.org/2026/09/11/usa-colorado-forces-doctors-to-medically-transition-patients-or-risk-prosecution/</w:t>
        </w:r>
      </w:hyperlink>
      <w:r>
        <w:t xml:space="preserve"> - Please view link - unable to able to access data</w:t>
      </w:r>
      <w:r/>
    </w:p>
    <w:p>
      <w:pPr>
        <w:pStyle w:val="ListNumber"/>
        <w:spacing w:line="240" w:lineRule="auto"/>
        <w:ind w:left="720"/>
      </w:pPr>
      <w:r/>
      <w:hyperlink r:id="rId10">
        <w:r>
          <w:rPr>
            <w:color w:val="0000EE"/>
            <w:u w:val="single"/>
          </w:rPr>
          <w:t>https://www.coloradopolitics.com/2026/09/10/colorado-doctors-dentists-challenge-state-law-on-gender-transition-services-in-new-federal-lawsuit/</w:t>
        </w:r>
      </w:hyperlink>
      <w:r>
        <w:t xml:space="preserve"> - A group of Christian doctors and dentists has filed a federal lawsuit challenging a Colorado law they say requires them to provide gender-transition services that conflict with their religious and ethical beliefs. The lawsuit, filed by the Christian Medical and Dental Associations and Button Family Practice of Cañon City, alleges that certain portions of Colorado’s Anti-Discrimination Act are unconstitutional, as it forces doctors to perform 'dangerous, unproven' gender transition procedures 'against their medical judgment, their oath to do no harm, and their faith.' The plaintiffs are seeking an exemption from portions of the state law that bar businesses from publishing statements indicating they will deny service based on a protected trait, such as gender identity; require businesses to use an individual’s chosen name and pronouns; and require medical facilities that perform gender-related procedures like mastectomies and hysterectomies to provide those services to all patients, whether for medical reasons or to align with a patient’s gender choices.</w:t>
      </w:r>
      <w:r/>
    </w:p>
    <w:p>
      <w:pPr>
        <w:pStyle w:val="ListNumber"/>
        <w:spacing w:line="240" w:lineRule="auto"/>
        <w:ind w:left="720"/>
      </w:pPr>
      <w:r/>
      <w:hyperlink r:id="rId11">
        <w:r>
          <w:rPr>
            <w:color w:val="0000EE"/>
            <w:u w:val="single"/>
          </w:rPr>
          <w:t>https://www.klzradio.com/for-freedom-and-truth/2026/09/10/adf-sues-colorado-over-mandate-it-says-forces-christian-doctors-to-provide-gender-transition-treatment/</w:t>
        </w:r>
      </w:hyperlink>
      <w:r>
        <w:t xml:space="preserve"> - The dispute grows out of Colorado’s interpretation of the Colorado Anti-Discrimination Act, or CADA. Gender identity is one of the characteristics protected under the state’s public-accommodations law. According to ADF, recent Colorado court decisions mean that if a healthcare provider prescribes a particular drug or performs a particular procedure for one medical condition, the provider may be required to offer that same drug or procedure when sought for gender transition. That is a very important distinction. A doctor may, for example, believe that a hormone is medically appropriate for treating an endocrine disorder while concluding that prescribing the same hormone to alter a healthy patient’s sex characteristics would be medically inappropriate. Under ADF’s reading of Colorado’s current legal position, the provider’s distinction between those two purposes could be treated as discrimination based on gender identity. ADF says the consequences are not limited to treatment decisions. Its press release alleges that Colorado law also prohibits healthcare providers from explaining on their websites or to the public why they decline to participate in gender-transition procedures. That transforms this dispute from solely a fight over medical regulation into a substantial First Amendment speech case.</w:t>
      </w:r>
      <w:r/>
    </w:p>
    <w:p>
      <w:pPr>
        <w:pStyle w:val="ListNumber"/>
        <w:spacing w:line="240" w:lineRule="auto"/>
        <w:ind w:left="720"/>
      </w:pPr>
      <w:r/>
      <w:hyperlink r:id="rId13">
        <w:r>
          <w:rPr>
            <w:color w:val="0000EE"/>
            <w:u w:val="single"/>
          </w:rPr>
          <w:t>https://adfmedia.org/</w:t>
        </w:r>
      </w:hyperlink>
      <w:r>
        <w:t xml:space="preserve"> - Alliance Defending Freedom (ADF) is a non-profit Christian legal advocacy group that focuses on defending religious freedom, sanctity of life, and marriage and family. ADF attorneys have argued, and won, a number of cases before the Supreme Court. The 2023 case 303 Creative LLC v. Elenis addressed an intersection between the Free Speech Clause of the First Amendment to the United States Constitution and LGBTQ rights. It pitched Lorie Smith, a graphic designer represented by ADF's Kristen Waggoner, against a Colorado public accommodations law that she feared would have compelled her to also create expression about same-sex marriages that contradicted her religious beliefs if she designed websites celebrating marriages between men and women. In a 6–3 decision, the Supreme Court ruled that the First Amendment forbade the state of Colorado from compelling speech that contradicted her beliefs.</w:t>
      </w:r>
      <w:r/>
    </w:p>
    <w:p>
      <w:pPr>
        <w:pStyle w:val="ListNumber"/>
        <w:spacing w:line="240" w:lineRule="auto"/>
        <w:ind w:left="720"/>
      </w:pPr>
      <w:r/>
      <w:hyperlink r:id="rId14">
        <w:r>
          <w:rPr>
            <w:color w:val="0000EE"/>
            <w:u w:val="single"/>
          </w:rPr>
          <w:t>https://pmc.ncbi.nlm.nih.gov/articles/PMC9297495/</w:t>
        </w:r>
      </w:hyperlink>
      <w:r>
        <w:t xml:space="preserve"> - The Catholic Medical Association, together with Alliance Defending Freedom attorneys representing the American College of Pediatricians, and an Ob-Gyn doctor who specializes in caring for adolescents, are suing the U.S. Department of Health and Human Services over a Biden administration mandate requiring doctors to perform gender transition procedures on any patient, including a child, even if the procedure violates a doctor’s medical judgment or religious beliefs. ADF attorneys filed suit in federal court regarding HHS’ reinterpretation of the Affordable Care Act, which prohibits sex discrimination, to include gender identity and thus require gender transition interventions, services, surgeries, and drugs on demand, even for children, no matter a doctor’s medical judgment, religious beliefs, or conscientious objection.</w:t>
      </w:r>
      <w:r/>
    </w:p>
    <w:p>
      <w:pPr>
        <w:pStyle w:val="ListNumber"/>
        <w:spacing w:line="240" w:lineRule="auto"/>
        <w:ind w:left="720"/>
      </w:pPr>
      <w:r/>
      <w:hyperlink r:id="rId12">
        <w:r>
          <w:rPr>
            <w:color w:val="0000EE"/>
            <w:u w:val="single"/>
          </w:rPr>
          <w:t>https://rockymountainvoice.com/2026/09/11/christian-doctors-sue-colorado-over-gender-transition-treatment-mandate/</w:t>
        </w:r>
      </w:hyperlink>
      <w:r>
        <w:t xml:space="preserve"> - ADF attorneys representing Christian healthcare providers file suit against state officials. DENVER – Alliance Defending Freedom attorneys representing the Christian Medical &amp; Dental Associations and a Christian medical practice filed a federal lawsuit Wednesday challenging a Colorado law that forces healthcare professionals to participate in so-called gender transition procedures for children and adults, even when doing so violates their religious, ethical, and medical judgment. CMDA is a group of Christian healthcare professionals, with members in Colorado, who practice consistent with their faith. The Button Family Practice P.C. is a family-owned primary care clinic serving patients in a small town in southern Colorado by providing patient-centered medical care. Marcus Button, M.D., is a physician and CMDA member who operates the practice according to his religious beliefs.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zenit.org/2026/09/11/usa-colorado-forces-doctors-to-medically-transition-patients-or-risk-prosecution/" TargetMode="External"/><Relationship Id="rId10" Type="http://schemas.openxmlformats.org/officeDocument/2006/relationships/hyperlink" Target="https://www.coloradopolitics.com/2026/09/10/colorado-doctors-dentists-challenge-state-law-on-gender-transition-services-in-new-federal-lawsuit/" TargetMode="External"/><Relationship Id="rId11" Type="http://schemas.openxmlformats.org/officeDocument/2006/relationships/hyperlink" Target="https://www.klzradio.com/for-freedom-and-truth/2026/09/10/adf-sues-colorado-over-mandate-it-says-forces-christian-doctors-to-provide-gender-transition-treatment/" TargetMode="External"/><Relationship Id="rId12" Type="http://schemas.openxmlformats.org/officeDocument/2006/relationships/hyperlink" Target="https://rockymountainvoice.com/2026/09/11/christian-doctors-sue-colorado-over-gender-transition-treatment-mandate/" TargetMode="External"/><Relationship Id="rId13" Type="http://schemas.openxmlformats.org/officeDocument/2006/relationships/hyperlink" Target="https://adfmedia.org/" TargetMode="External"/><Relationship Id="rId14" Type="http://schemas.openxmlformats.org/officeDocument/2006/relationships/hyperlink" Target="https://pmc.ncbi.nlm.nih.gov/articles/PMC929749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