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US transgender healthcare restrictions and what they mean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clinicians and schools across the US are facing a rapidly shifting LGBTQ policy landscape, with transgender healthcare, education and military service at the centre. From Medicaid restrictions to federal investigations, the latest measures matter because they could affect access, privacy and funding for trans people and the organisations supporting them.</w:t>
      </w:r>
      <w:r/>
    </w:p>
    <w:p>
      <w:pPr>
        <w:pStyle w:val="Heading2"/>
      </w:pPr>
      <w:r>
        <w:t>Essential Takeaways</w:t>
      </w:r>
      <w:r/>
      <w:r/>
    </w:p>
    <w:p>
      <w:pPr>
        <w:pStyle w:val="ListBullet"/>
        <w:spacing w:line="240" w:lineRule="auto"/>
        <w:ind w:left="720"/>
      </w:pPr>
      <w:r/>
      <w:r>
        <w:rPr>
          <w:b/>
        </w:rPr>
        <w:t>Healthcare funding is tightening:</w:t>
      </w:r>
      <w:r>
        <w:t xml:space="preserve"> New federal rules restrict Medicaid and CHIP funding for gender-affirming care for minors.</w:t>
      </w:r>
      <w:r/>
    </w:p>
    <w:p>
      <w:pPr>
        <w:pStyle w:val="ListBullet"/>
        <w:spacing w:line="240" w:lineRule="auto"/>
        <w:ind w:left="720"/>
      </w:pPr>
      <w:r/>
      <w:r>
        <w:rPr>
          <w:b/>
        </w:rPr>
        <w:t>Hospitals are under pressure:</w:t>
      </w:r>
      <w:r>
        <w:t xml:space="preserve"> Medical centres have faced investigations, subpoenas and settlement demands linked to youth gender care.</w:t>
      </w:r>
      <w:r/>
    </w:p>
    <w:p>
      <w:pPr>
        <w:pStyle w:val="ListBullet"/>
        <w:spacing w:line="240" w:lineRule="auto"/>
        <w:ind w:left="720"/>
      </w:pPr>
      <w:r/>
      <w:r>
        <w:rPr>
          <w:b/>
        </w:rPr>
        <w:t>Schools are being scrutinised:</w:t>
      </w:r>
      <w:r>
        <w:t xml:space="preserve"> Education officials are investigating policies covering bathrooms, sport, privacy and gender identity.</w:t>
      </w:r>
      <w:r/>
    </w:p>
    <w:p>
      <w:pPr>
        <w:pStyle w:val="ListBullet"/>
        <w:spacing w:line="240" w:lineRule="auto"/>
        <w:ind w:left="720"/>
      </w:pPr>
      <w:r/>
      <w:r>
        <w:rPr>
          <w:b/>
        </w:rPr>
        <w:t>Legal challenges continue:</w:t>
      </w:r>
      <w:r>
        <w:t xml:space="preserve"> Courts have blocked or limited several government attempts to obtain medical records or cut funding.</w:t>
      </w:r>
      <w:r/>
    </w:p>
    <w:p>
      <w:pPr>
        <w:pStyle w:val="ListBullet"/>
        <w:spacing w:line="240" w:lineRule="auto"/>
        <w:ind w:left="720"/>
      </w:pPr>
      <w:r/>
      <w:r>
        <w:rPr>
          <w:b/>
        </w:rPr>
        <w:t>The impact extends beyond treatment:</w:t>
      </w:r>
      <w:r>
        <w:t xml:space="preserve"> Veterans, HIV clinics, foster children and transgender service members are also affected.</w:t>
      </w:r>
      <w:r/>
      <w:r/>
    </w:p>
    <w:p>
      <w:pPr>
        <w:pStyle w:val="Heading2"/>
      </w:pPr>
      <w:r>
        <w:t>A fresh squeeze on gender-affirming care</w:t>
      </w:r>
      <w:r/>
    </w:p>
    <w:p>
      <w:r/>
      <w:r>
        <w:t>The most consequential development for many families is the federal restriction on Medicaid and Children’s Health Insurance Programme funding for gender-affirming care for minors. The rule covers puberty blockers, hormone therapy and surgery, while allowing states to continue paying with their own funds.</w:t>
      </w:r>
      <w:r/>
    </w:p>
    <w:p>
      <w:r/>
      <w:r>
        <w:t>That distinction sounds technical, but it could be decisive. Families who rely on public insurance may find that treatment is no longer covered, even where it remains legal under state law. KFF’s overview of the administration’s LGBTQ-related executive actions shows how quickly policy changes have moved from presidential directives into healthcare administration. According to the Washington Post, the final Medicaid rule affects a large public programme used by low-income children and families.</w:t>
      </w:r>
      <w:r/>
    </w:p>
    <w:p>
      <w:r/>
      <w:r>
        <w:t>For parents, the practical question is often less ideological than immediate: will a clinic still offer care, and can the family afford it? Those answers may now depend heavily on where they live and which funding stream pays the bill.</w:t>
      </w:r>
      <w:r/>
    </w:p>
    <w:p>
      <w:pPr>
        <w:pStyle w:val="Heading2"/>
      </w:pPr>
      <w:r>
        <w:t>Hospitals face investigations, subpoenas and settlements</w:t>
      </w:r>
      <w:r/>
    </w:p>
    <w:p>
      <w:r/>
      <w:r>
        <w:t>Healthcare providers have also come under sustained federal pressure. The administration has pursued agreements with hospitals that stop or limit gender-affirming treatment for young people, while directing money towards detransition services. The hospitals involved have generally denied wrongdoing and accepted no liability.</w:t>
      </w:r>
      <w:r/>
    </w:p>
    <w:p>
      <w:r/>
      <w:r>
        <w:t>The wider strategy has included demands for patient information and medical records. Courts have pushed back in several cases, finding that some subpoenas appeared to threaten medical privacy or lacked a proper investigative basis. That judicial resistance offers a measure of protection, but it doesn't remove the uncertainty hanging over hospitals and patients.</w:t>
      </w:r>
      <w:r/>
    </w:p>
    <w:p>
      <w:r/>
      <w:r>
        <w:t>The Guardian reported on the administration's broader campaign against gender-affirming care, including its use of federal agencies to challenge providers. Meanwhile, the Washington Post has described how officials are using funding rules and enforcement tools to make treatment harder to provide. For clinicians, the result is a chilling atmosphere: even lawful care can carry new legal and financial risks.</w:t>
      </w:r>
      <w:r/>
    </w:p>
    <w:p>
      <w:pPr>
        <w:pStyle w:val="Heading2"/>
      </w:pPr>
      <w:r>
        <w:t>Schools are becoming a major battleground</w:t>
      </w:r>
      <w:r/>
    </w:p>
    <w:p>
      <w:r/>
      <w:r>
        <w:t>Education officials have opened investigations into districts over transgender pupils' access to toilets, changing rooms, sports teams and privacy protections. Some districts have also faced threats to federal funding over policies that stop staff outing students to their parents when doing so could expose them to harm at home.</w:t>
      </w:r>
      <w:r/>
    </w:p>
    <w:p>
      <w:r/>
      <w:r>
        <w:t>That last point is especially sensitive. Schools are balancing parental rights, student privacy and safeguarding duties, often while receiving conflicting instructions from courts, state governments and federal agencies. The debate can sound abstract in Washington, but for a teenager it may determine whether school feels safe or hostile.</w:t>
      </w:r>
      <w:r/>
    </w:p>
    <w:p>
      <w:r/>
      <w:r>
        <w:t>The Washington Post has reported on federal settlements and enforcement involving transgender students, while wider coverage shows the Education Department increasingly treating school inclusion policies as potential civil rights violations. Schools reviewing their procedures should check local law, document safeguarding decisions carefully and avoid relying on political statements as a substitute for legal advice.</w:t>
      </w:r>
      <w:r/>
    </w:p>
    <w:p>
      <w:pPr>
        <w:pStyle w:val="Heading2"/>
      </w:pPr>
      <w:r>
        <w:t>The policy reaches veterans, HIV services and the military</w:t>
      </w:r>
      <w:r/>
    </w:p>
    <w:p>
      <w:r/>
      <w:r>
        <w:t>The campaign isn't limited to children's healthcare. The Department of Veterans Affairs has moved to dismantle initiatives focused on gender identity, including support structures designed to help LGBTQ+ veterans navigate care. Advocate reported that the changes removed dedicated recognition and assistance for transgender and LGBTQ+ veterans within the VA system.</w:t>
      </w:r>
      <w:r/>
    </w:p>
    <w:p>
      <w:r/>
      <w:r>
        <w:t>HIV services have also been pulled into the dispute. New grant conditions affecting the Ryan White HIV/AIDS Programme restrict how federally supported providers can discuss or fund gender-affirming care, prompting medical organisations to challenge the policy. That matters because HIV clinics often provide trusted, specialist care to communities already facing barriers.</w:t>
      </w:r>
      <w:r/>
    </w:p>
    <w:p>
      <w:r/>
      <w:r>
        <w:t>Meanwhile, the transgender military ban remains tied up in litigation. Service members have challenged removal procedures, while courts have considered whether current troops should be protected as the cases proceed. KFF's analysis places these measures within a wider pattern of executive actions affecting LGBTQ+ health, employment and public services.</w:t>
      </w:r>
      <w:r/>
    </w:p>
    <w:p>
      <w:pPr>
        <w:pStyle w:val="Heading2"/>
      </w:pPr>
      <w:r>
        <w:t>Courts may decide how far the crackdown goes</w:t>
      </w:r>
      <w:r/>
    </w:p>
    <w:p>
      <w:r/>
      <w:r>
        <w:t>The administration has announced an expansive agenda, but implementation has repeatedly met resistance in federal court. Judges have limited access to patient data, questioned the legal basis for agency action and restored protections where officials failed to follow required procedures.</w:t>
      </w:r>
      <w:r/>
    </w:p>
    <w:p>
      <w:r/>
      <w:r>
        <w:t>That doesn't make the policy landscape stable. Appeals can reverse decisions, agencies can rewrite rules and states may take sharply different approaches. A family in California, for example, may face a very different healthcare pathway from one in a state that relies almost entirely on federal funding.</w:t>
      </w:r>
      <w:r/>
    </w:p>
    <w:p>
      <w:r/>
      <w:r>
        <w:t>The legal arguments also reveal the stakes. LGBTQ Nation reported on proposals to weaken federal LGBTQ protections, including claims framed through religious liberty. As these disputes continue, the outcome will shape not only medical treatment but also how schools, employers and public bodies interpret their responsibilities.</w:t>
      </w:r>
      <w:r/>
    </w:p>
    <w:p>
      <w:r/>
      <w:r>
        <w:t>For transgender people and their families, the most useful response is practical: keep copies of medical and school records, ask providers how funding changes could affect care, check state-level guidance and seek advice from reputable LGBTQ legal or healthcare organisations. In a fast-moving policy fight, good information is a form of protection.</w:t>
      </w:r>
      <w:r/>
    </w:p>
    <w:p>
      <w:r/>
      <w:r>
        <w:t>The coming months are likely to bring more court rulings, revised agency rules and further pressure on institutions. The headline may be political, but the consequences are intensely personal: a cancelled appointment, a lost benefit or a school policy rewritten overnight.</w:t>
      </w:r>
      <w:r/>
    </w:p>
    <w:p>
      <w:r/>
      <w:r>
        <w:t>It's a complicated moment, so reliable local advice matters more than ever.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9">
        <w:r>
          <w:rPr>
            <w:color w:val="0000EE"/>
            <w:u w:val="single"/>
          </w:rPr>
          <w:t>[1]</w:t>
        </w:r>
      </w:hyperlink>
      <w:r>
        <w:t xml:space="preserve">, </w:t>
      </w:r>
      <w:hyperlink r:id="rId10">
        <w:r>
          <w:rPr>
            <w:color w:val="0000EE"/>
            <w:u w:val="single"/>
          </w:rPr>
          <w:t>[2]</w:t>
        </w:r>
      </w:hyperlink>
      <w:r>
        <w:t xml:space="preserve">- Paragraph 5: </w:t>
      </w:r>
      <w:hyperlink r:id="rId9">
        <w:r>
          <w:rPr>
            <w:color w:val="0000EE"/>
            <w:u w:val="single"/>
          </w:rPr>
          <w:t>[1]</w:t>
        </w:r>
      </w:hyperlink>
      <w:r>
        <w:t xml:space="preserve">, </w:t>
      </w:r>
      <w:hyperlink r:id="rId10">
        <w:r>
          <w:rPr>
            <w:color w:val="0000EE"/>
            <w:u w:val="single"/>
          </w:rPr>
          <w:t>[2]</w:t>
        </w:r>
      </w:hyperlink>
      <w:r>
        <w:t xml:space="preserve">- Paragraph 6: </w:t>
      </w:r>
      <w:hyperlink r:id="rId13">
        <w:r>
          <w:rPr>
            <w:color w:val="0000EE"/>
            <w:u w:val="single"/>
          </w:rPr>
          <w:t>[5]</w:t>
        </w:r>
      </w:hyperlink>
      <w:r>
        <w:t xml:space="preserve">, </w:t>
      </w:r>
      <w:hyperlink r:id="rId10">
        <w:r>
          <w:rPr>
            <w:color w:val="0000EE"/>
            <w:u w:val="single"/>
          </w:rPr>
          <w:t>[2]</w:t>
        </w:r>
      </w:hyperlink>
      <w:r>
        <w:t xml:space="preserve">- Paragraph 7: </w:t>
      </w:r>
      <w:hyperlink r:id="rId13">
        <w:r>
          <w:rPr>
            <w:color w:val="0000EE"/>
            <w:u w:val="single"/>
          </w:rPr>
          <w:t>[5]</w:t>
        </w:r>
      </w:hyperlink>
      <w:r>
        <w:t xml:space="preserve">, </w:t>
      </w:r>
      <w:hyperlink r:id="rId9">
        <w:r>
          <w:rPr>
            <w:color w:val="0000EE"/>
            <w:u w:val="single"/>
          </w:rPr>
          <w:t>[1]</w:t>
        </w:r>
      </w:hyperlink>
      <w:r>
        <w:t xml:space="preserve">- Paragraph 8: </w:t>
      </w:r>
      <w:hyperlink r:id="rId14">
        <w:r>
          <w:rPr>
            <w:color w:val="0000EE"/>
            <w:u w:val="single"/>
          </w:rPr>
          <w:t>[7]</w:t>
        </w:r>
      </w:hyperlink>
      <w:r>
        <w:t xml:space="preserve">, </w:t>
      </w:r>
      <w:hyperlink r:id="rId11">
        <w:r>
          <w:rPr>
            <w:color w:val="0000EE"/>
            <w:u w:val="single"/>
          </w:rPr>
          <w:t>[3]</w:t>
        </w:r>
      </w:hyperlink>
      <w:r>
        <w:t xml:space="preserve">- Paragraph 9: </w:t>
      </w:r>
      <w:hyperlink r:id="rId11">
        <w:r>
          <w:rPr>
            <w:color w:val="0000EE"/>
            <w:u w:val="single"/>
          </w:rPr>
          <w:t>[3]</w:t>
        </w:r>
      </w:hyperlink>
      <w:r>
        <w:t xml:space="preserve">, </w:t>
      </w:r>
      <w:hyperlink r:id="rId12">
        <w:r>
          <w:rPr>
            <w:color w:val="0000EE"/>
            <w:u w:val="single"/>
          </w:rPr>
          <w:t>[6]</w:t>
        </w:r>
      </w:hyperlink>
      <w:r>
        <w:t xml:space="preserve">- Paragraph 10: </w:t>
      </w:r>
      <w:hyperlink r:id="rId15">
        <w:r>
          <w:rPr>
            <w:color w:val="0000EE"/>
            <w:u w:val="single"/>
          </w:rPr>
          <w:t>[4]</w:t>
        </w:r>
      </w:hyperlink>
      <w:r>
        <w:t xml:space="preserve">, </w:t>
      </w:r>
      <w:hyperlink r:id="rId11">
        <w:r>
          <w:rPr>
            <w:color w:val="0000EE"/>
            <w:u w:val="single"/>
          </w:rPr>
          <w:t>[3]</w:t>
        </w:r>
      </w:hyperlink>
      <w:r>
        <w:t xml:space="preserve">- Paragraph 11: </w:t>
      </w:r>
      <w:hyperlink r:id="rId15">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1">
        <w:r>
          <w:rPr>
            <w:color w:val="0000EE"/>
            <w:u w:val="single"/>
          </w:rPr>
          <w:t>[3]</w:t>
        </w:r>
      </w:hyperlink>
      <w:r>
        <w:t xml:space="preserve">, </w:t>
      </w:r>
      <w:hyperlink r:id="rId13">
        <w:r>
          <w:rPr>
            <w:color w:val="0000EE"/>
            <w:u w:val="single"/>
          </w:rPr>
          <w:t>[5]</w:t>
        </w:r>
      </w:hyperlink>
      <w:r>
        <w:t xml:space="preserve">- Paragraph 14: </w:t>
      </w:r>
      <w:hyperlink r:id="rId15">
        <w:r>
          <w:rPr>
            <w:color w:val="0000EE"/>
            <w:u w:val="single"/>
          </w:rPr>
          <w:t>[4]</w:t>
        </w:r>
      </w:hyperlink>
      <w:r>
        <w:t xml:space="preserve">, </w:t>
      </w:r>
      <w:hyperlink r:id="rId11">
        <w:r>
          <w:rPr>
            <w:color w:val="0000EE"/>
            <w:u w:val="single"/>
          </w:rPr>
          <w:t>[3]</w:t>
        </w:r>
      </w:hyperlink>
      <w:r>
        <w:t xml:space="preserve">- Paragraph 15: </w:t>
      </w:r>
      <w:hyperlink r:id="rId10">
        <w:r>
          <w:rPr>
            <w:color w:val="0000EE"/>
            <w:u w:val="single"/>
          </w:rPr>
          <w:t>[2]</w:t>
        </w:r>
      </w:hyperlink>
      <w:r>
        <w:t xml:space="preserve">, </w:t>
      </w:r>
      <w:hyperlink r:id="rId12">
        <w:r>
          <w:rPr>
            <w:color w:val="0000EE"/>
            <w:u w:val="single"/>
          </w:rPr>
          <w:t>[6]</w:t>
        </w:r>
      </w:hyperlink>
      <w:r>
        <w:t xml:space="preserve">- Paragraph 16: </w:t>
      </w:r>
      <w:hyperlink r:id="rId11">
        <w:r>
          <w:rPr>
            <w:color w:val="0000EE"/>
            <w:u w:val="single"/>
          </w:rPr>
          <w:t>[3]</w:t>
        </w:r>
      </w:hyperlink>
      <w:r>
        <w:t xml:space="preserve">, </w:t>
      </w:r>
      <w:hyperlink r:id="rId13">
        <w:r>
          <w:rPr>
            <w:color w:val="0000EE"/>
            <w:u w:val="single"/>
          </w:rPr>
          <w:t>[5]</w:t>
        </w:r>
      </w:hyperlink>
      <w:r>
        <w:t xml:space="preserve">- Paragraph 17: </w:t>
      </w:r>
      <w:hyperlink r:id="rId10">
        <w:r>
          <w:rPr>
            <w:color w:val="0000EE"/>
            <w:u w:val="single"/>
          </w:rPr>
          <w:t>[2]</w:t>
        </w:r>
      </w:hyperlink>
      <w:r>
        <w:t xml:space="preserve">, </w:t>
      </w:r>
      <w:hyperlink r:id="rId15">
        <w:r>
          <w:rPr>
            <w:color w:val="0000EE"/>
            <w:u w:val="single"/>
          </w:rPr>
          <w:t>[4]</w:t>
        </w:r>
      </w:hyperlink>
      <w:r>
        <w:t xml:space="preserve">- Paragraph 18: </w:t>
      </w:r>
      <w:hyperlink r:id="rId11">
        <w:r>
          <w:rPr>
            <w:color w:val="0000EE"/>
            <w:u w:val="single"/>
          </w:rPr>
          <w:t>[3]</w:t>
        </w:r>
      </w:hyperlink>
      <w:r>
        <w:t xml:space="preserve">, </w:t>
      </w:r>
      <w:hyperlink r:id="rId12">
        <w:r>
          <w:rPr>
            <w:color w:val="0000EE"/>
            <w:u w:val="single"/>
          </w:rPr>
          <w:t>[6]</w:t>
        </w:r>
      </w:hyperlink>
      <w:r>
        <w:t xml:space="preserve">- Paragraph 19: </w:t>
      </w:r>
      <w:hyperlink r:id="rId10">
        <w:r>
          <w:rPr>
            <w:color w:val="0000EE"/>
            <w:u w:val="single"/>
          </w:rPr>
          <w:t>[2]</w:t>
        </w:r>
      </w:hyperlink>
      <w:r>
        <w:t xml:space="preserve">, </w:t>
      </w:r>
      <w:hyperlink r:id="rId13">
        <w:r>
          <w:rPr>
            <w:color w:val="0000EE"/>
            <w:u w:val="single"/>
          </w:rPr>
          <w:t>[5]</w:t>
        </w:r>
      </w:hyperlink>
      <w:r>
        <w:t xml:space="preserve">- Paragraph 20: </w:t>
      </w:r>
      <w:hyperlink r:id="rId11">
        <w:r>
          <w:rPr>
            <w:color w:val="0000EE"/>
            <w:u w:val="single"/>
          </w:rPr>
          <w:t>[3]</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https://www.unclosetedmedia.com/p/days-501-600-every-anti-lgbtq-move</w:t>
        </w:r>
      </w:hyperlink>
      <w:r>
        <w:t xml:space="preserve"> - Please view link - unable to able to access data</w:t>
      </w:r>
      <w:r/>
    </w:p>
    <w:p>
      <w:pPr>
        <w:pStyle w:val="ListNumber"/>
        <w:spacing w:line="240" w:lineRule="auto"/>
        <w:ind w:left="720"/>
      </w:pPr>
      <w:r/>
      <w:hyperlink r:id="rId10">
        <w:r>
          <w:rPr>
            <w:color w:val="0000EE"/>
            <w:u w:val="single"/>
          </w:rPr>
          <w:t>https://www.theguardian.com/us-news/2026/aug/13/trump-administration-gender-affirming-care</w:t>
        </w:r>
      </w:hyperlink>
      <w:r>
        <w:t xml:space="preserve"> - In August 2026, the Trump administration finalised a rule to end federal support for gender-affirming care through Medicaid and the Children’s Health Insurance Program (CHIP). This policy, effective from October 13, 2026, prohibits federal reimbursement for services such as puberty blockers, hormone therapy, and transition-related surgeries for minors. The administration argues that these interventions lack reliable evidence of safety and clinical benefit. However, major medical institutions, including the American Medical Association, support gender-affirming care for youth diagnosed with gender dysphoria, deeming it both safe and appropriate. Legal challenges to the new rule could delay or block the policy entirely.</w:t>
      </w:r>
      <w:r/>
    </w:p>
    <w:p>
      <w:pPr>
        <w:pStyle w:val="ListNumber"/>
        <w:spacing w:line="240" w:lineRule="auto"/>
        <w:ind w:left="720"/>
      </w:pPr>
      <w:r/>
      <w:hyperlink r:id="rId11">
        <w:r>
          <w:rPr>
            <w:color w:val="0000EE"/>
            <w:u w:val="single"/>
          </w:rPr>
          <w:t>https://www.kff.org/lgbtq/overview-of-president-trumps-executive-actions-impacting-lgbtq-health/</w:t>
        </w:r>
      </w:hyperlink>
      <w:r>
        <w:t xml:space="preserve"> - Since the beginning of his second term, President Trump has issued numerous executive actions affecting health programs and policies related to LGBTQ+ individuals. These actions include efforts to limit access to gender-affirming care, such as the finalisation of a rule to end federal support for such services through Medicaid and CHIP. The administration's approach has been comprehensive, involving various federal agencies and legal actions aimed at restricting gender-affirming care for minors. These measures have faced legal challenges and have been met with opposition from medical professionals and LGBTQ+ advocacy groups.</w:t>
      </w:r>
      <w:r/>
    </w:p>
    <w:p>
      <w:pPr>
        <w:pStyle w:val="ListNumber"/>
        <w:spacing w:line="240" w:lineRule="auto"/>
        <w:ind w:left="720"/>
      </w:pPr>
      <w:r/>
      <w:hyperlink r:id="rId15">
        <w:r>
          <w:rPr>
            <w:color w:val="0000EE"/>
            <w:u w:val="single"/>
          </w:rPr>
          <w:t>https://www.lgbtqnation.com/2026/04/doj-says-lgbtq-legal-protections-are-anti-christian-pledges-to-erode-them-further/</w:t>
        </w:r>
      </w:hyperlink>
      <w:r>
        <w:t xml:space="preserve"> - In April 2026, the Department of Justice (DOJ) released a 197-page report from its Task Force to Eradicate Anti-Christian Bias, stating that pro-LGBTQ+ policies pursued by the previous administration were 'anti-Christian.' The report focuses on alleged conflicts between federal policies and traditional Christian practices, particularly concerning abortion, gender identity, and sexual orientation. It suggests that these policies burdened religious practices and advocates for the erosion of such protections. The report has been criticised for promoting a Christian nationalist agenda that undermines LGBTQ+ rights and protections.</w:t>
      </w:r>
      <w:r/>
    </w:p>
    <w:p>
      <w:pPr>
        <w:pStyle w:val="ListNumber"/>
        <w:spacing w:line="240" w:lineRule="auto"/>
        <w:ind w:left="720"/>
      </w:pPr>
      <w:r/>
      <w:hyperlink r:id="rId13">
        <w:r>
          <w:rPr>
            <w:color w:val="0000EE"/>
            <w:u w:val="single"/>
          </w:rPr>
          <w:t>https://www.washingtonpost.com/education/2026/04/06/education-department-transgender-settlements/</w:t>
        </w:r>
      </w:hyperlink>
      <w:r>
        <w:t xml:space="preserve"> - In April 2026, the U.S. Department of Education announced the rescission of civil rights settlements that aimed to protect transgender students from discrimination. The agency stated that these settlements were 'illegal' and would no longer be enforced. This decision marks a significant shift in the administration's stance on transgender rights in education, as it moves away from previous agreements that required schools to stop discriminating against transgender students. The move has been met with criticism from LGBTQ+ advocacy groups, who argue that it undermines protections for transgender students.</w:t>
      </w:r>
      <w:r/>
    </w:p>
    <w:p>
      <w:pPr>
        <w:pStyle w:val="ListNumber"/>
        <w:spacing w:line="240" w:lineRule="auto"/>
        <w:ind w:left="720"/>
      </w:pPr>
      <w:r/>
      <w:hyperlink r:id="rId12">
        <w:r>
          <w:rPr>
            <w:color w:val="0000EE"/>
            <w:u w:val="single"/>
          </w:rPr>
          <w:t>https://www.washingtonpost.com/politics/2026/08/11/trump-administration-end-medicaid-funding-childrens-transgender-care/</w:t>
        </w:r>
      </w:hyperlink>
      <w:r>
        <w:t xml:space="preserve"> - In August 2026, the Trump administration finalised a policy to end federal Medicaid funding for gender-affirming care for transgender youth. This includes hormone therapy, puberty blockers, and gender-affirming surgeries. The new rule, effective from October 13, 2026, restricts states from obtaining federal reimbursement for these services. Officials describe the measure as a way to protect children from what they call 'sex-rejecting procedures.' However, major medical institutions, including the American Medical Association, support gender-affirming care for youth diagnosed with gender dysphoria, deeming it both safe and appropriate. This move represents a significant escalation in the administration's broader efforts to limit access to transition-related healthcare and could challenge existing state and federal protections.</w:t>
      </w:r>
      <w:r/>
    </w:p>
    <w:p>
      <w:pPr>
        <w:pStyle w:val="ListNumber"/>
        <w:spacing w:line="240" w:lineRule="auto"/>
        <w:ind w:left="720"/>
      </w:pPr>
      <w:r/>
      <w:hyperlink r:id="rId14">
        <w:r>
          <w:rPr>
            <w:color w:val="0000EE"/>
            <w:u w:val="single"/>
          </w:rPr>
          <w:t>https://www.advocate.com/transgender/2026/6/12/va-directive-eliminates-initiatives-focused-gender-identity</w:t>
        </w:r>
      </w:hyperlink>
      <w:r>
        <w:t xml:space="preserve"> - In June 2026, the Department of Veterans Affairs (VA) issued a directive ordering VA health facilities to eliminate initiatives focused on gender identity. One program, LGBTQ+ Veteran Care Coordinators, which was initially slated to remain in operation with the reference to LGBTQ people removed from its name, was eventually dismantled altogether in July. This move is part of the administration's broader efforts to restrict gender-affirming care and services for transgender individuals, including veterans. The decision has been met with criticism from LGBTQ+ advocacy groups, who argue that it undermines support for transgender veterans.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nclosetedmedia.com/p/days-501-600-every-anti-lgbtq-move" TargetMode="External"/><Relationship Id="rId10" Type="http://schemas.openxmlformats.org/officeDocument/2006/relationships/hyperlink" Target="https://www.theguardian.com/us-news/2026/aug/13/trump-administration-gender-affirming-care" TargetMode="External"/><Relationship Id="rId11" Type="http://schemas.openxmlformats.org/officeDocument/2006/relationships/hyperlink" Target="https://www.kff.org/lgbtq/overview-of-president-trumps-executive-actions-impacting-lgbtq-health/" TargetMode="External"/><Relationship Id="rId12" Type="http://schemas.openxmlformats.org/officeDocument/2006/relationships/hyperlink" Target="https://www.washingtonpost.com/politics/2026/08/11/trump-administration-end-medicaid-funding-childrens-transgender-care/" TargetMode="External"/><Relationship Id="rId13" Type="http://schemas.openxmlformats.org/officeDocument/2006/relationships/hyperlink" Target="https://www.washingtonpost.com/education/2026/04/06/education-department-transgender-settlements/" TargetMode="External"/><Relationship Id="rId14" Type="http://schemas.openxmlformats.org/officeDocument/2006/relationships/hyperlink" Target="https://www.advocate.com/transgender/2026/6/12/va-directive-eliminates-initiatives-focused-gender-identity" TargetMode="External"/><Relationship Id="rId15" Type="http://schemas.openxmlformats.org/officeDocument/2006/relationships/hyperlink" Target="https://www.lgbtqnation.com/2026/04/doj-says-lgbtq-legal-protections-are-anti-christian-pledges-to-erode-them-furth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