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How Chinese Lesbians Used Care And Digital Archives To Survive Lockdowns</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Lesbian women in mainland China turned everyday care, discreet online records and trusted friendships into survival tools during the Covid lockdowns. New research shows how these routines offered practical support and preserved fragile memories when families, platforms and official systems often failed to recognise their relationships.</w:t>
      </w:r>
      <w:r/>
    </w:p>
    <w:p>
      <w:pPr>
        <w:pStyle w:val="Heading2"/>
      </w:pPr>
      <w:r>
        <w:t>Essential Takeaways</w:t>
      </w:r>
      <w:r/>
      <w:r/>
    </w:p>
    <w:p>
      <w:pPr>
        <w:pStyle w:val="ListBullet"/>
        <w:spacing w:line="240" w:lineRule="auto"/>
        <w:ind w:left="720"/>
      </w:pPr>
      <w:r/>
      <w:r>
        <w:rPr>
          <w:b/>
        </w:rPr>
        <w:t>Care became a survival skill:</w:t>
      </w:r>
      <w:r>
        <w:t xml:space="preserve"> Partners shared cooking, symptom tracking, medicine runs and emotional support.</w:t>
      </w:r>
      <w:r/>
    </w:p>
    <w:p>
      <w:pPr>
        <w:pStyle w:val="ListBullet"/>
        <w:spacing w:line="240" w:lineRule="auto"/>
        <w:ind w:left="720"/>
      </w:pPr>
      <w:r/>
      <w:r>
        <w:rPr>
          <w:b/>
        </w:rPr>
        <w:t>Digital caution mattered:</w:t>
      </w:r>
      <w:r>
        <w:t xml:space="preserve"> Users saved screenshots and copied disappearing posts to protect useful advice and personal memories.</w:t>
      </w:r>
      <w:r/>
    </w:p>
    <w:p>
      <w:pPr>
        <w:pStyle w:val="ListBullet"/>
        <w:spacing w:line="240" w:lineRule="auto"/>
        <w:ind w:left="720"/>
      </w:pPr>
      <w:r/>
      <w:r>
        <w:rPr>
          <w:b/>
        </w:rPr>
        <w:t>RedNote offered connection:</w:t>
      </w:r>
      <w:r>
        <w:t xml:space="preserve"> The lifestyle platform, also known as Xiaohongshu, blended shopping tips, health updates and personal stories.</w:t>
      </w:r>
      <w:r/>
    </w:p>
    <w:p>
      <w:pPr>
        <w:pStyle w:val="ListBullet"/>
        <w:spacing w:line="240" w:lineRule="auto"/>
        <w:ind w:left="720"/>
      </w:pPr>
      <w:r/>
      <w:r>
        <w:rPr>
          <w:b/>
        </w:rPr>
        <w:t>Privacy shaped daily life:</w:t>
      </w:r>
      <w:r>
        <w:t xml:space="preserve"> Some women concealed relationships from relatives and removed digital traces after meeting.</w:t>
      </w:r>
      <w:r/>
    </w:p>
    <w:p>
      <w:pPr>
        <w:pStyle w:val="ListBullet"/>
        <w:spacing w:line="240" w:lineRule="auto"/>
        <w:ind w:left="720"/>
      </w:pPr>
      <w:r/>
      <w:r>
        <w:rPr>
          <w:b/>
        </w:rPr>
        <w:t>Researchers see a policy gap:</w:t>
      </w:r>
      <w:r>
        <w:t xml:space="preserve"> Emergency planning rarely captures the informal networks that support marginalised households.</w:t>
      </w:r>
      <w:r/>
      <w:r/>
    </w:p>
    <w:p>
      <w:pPr>
        <w:pStyle w:val="Heading2"/>
      </w:pPr>
      <w:r>
        <w:t>Small routines carried enormous weight</w:t>
      </w:r>
      <w:r/>
    </w:p>
    <w:p>
      <w:r/>
      <w:r>
        <w:t>A warm drink, a logged temperature or a carefully packed medicine bag might sound ordinary. During China’s strictest Covid controls, however, these small gestures helped lesbian couples and friends manage illness, isolation and sudden restrictions when their relationships weren't formally recognised.</w:t>
      </w:r>
      <w:r/>
    </w:p>
    <w:p>
      <w:r/>
      <w:r>
        <w:t>Research published in Culture, Health &amp; Sexuality examined 180 RedNote posts and interviews with 13 self-identified lesbians living in mainland China. The study found that care wasn't simply emotional reassurance. It was practical knowledge, repeated until it became a shared method for getting through the day.</w:t>
      </w:r>
      <w:r/>
    </w:p>
    <w:p>
      <w:r/>
      <w:r>
        <w:t>Partners cooked in turns, recorded symptoms and watched food supplies. Friends living nearby delivered essentials when movement was restricted, while long-distance couples scheduled video calls that combined affection with updates about tests, medicines and household needs.</w:t>
      </w:r>
      <w:r/>
    </w:p>
    <w:p>
      <w:r/>
      <w:r>
        <w:t>The result was a quiet kind of resilience. No dramatic infrastructure was required, just routines that could be repeated when everything else felt uncertain.</w:t>
      </w:r>
      <w:r/>
    </w:p>
    <w:p>
      <w:pPr>
        <w:pStyle w:val="Heading2"/>
      </w:pPr>
      <w:r>
        <w:t>Why RedNote became more than a lifestyle app</w:t>
      </w:r>
      <w:r/>
    </w:p>
    <w:p>
      <w:r/>
      <w:r>
        <w:t>RedNote, or Xiaohongshu, is widely associated with shopping recommendations, beauty content and lifestyle inspiration. But as background on the platform from Webopedia and Chinese-language learning guides shows, its appeal also comes from users sharing practical, personal advice in a highly visual format.</w:t>
      </w:r>
      <w:r/>
    </w:p>
    <w:p>
      <w:r/>
      <w:r>
        <w:t>For the women described in the research, that made the platform useful as an informal noticeboard. Posts could contain tips about supplies, health checks and navigating restrictions, alongside reflections that helped users feel less alone. In a crisis, the line between lifestyle advice and mutual aid can become surprisingly thin.</w:t>
      </w:r>
      <w:r/>
    </w:p>
    <w:p>
      <w:r/>
      <w:r>
        <w:t>Yet the platform was an unstable archive. Posts mentioning sensitive lockdown terminology or health-code language could disappear without explanation. Users responded by taking screenshots, copying comment threads into encrypted notes and sending backups to trusted friends.</w:t>
      </w:r>
      <w:r/>
    </w:p>
    <w:p>
      <w:r/>
      <w:r>
        <w:t>That extra work mattered. A post wasn't only a post; it could be a set of instructions someone else might need later.</w:t>
      </w:r>
      <w:r/>
    </w:p>
    <w:p>
      <w:pPr>
        <w:pStyle w:val="Heading2"/>
      </w:pPr>
      <w:r>
        <w:t>Privacy made ordinary contact complicated</w:t>
      </w:r>
      <w:r/>
    </w:p>
    <w:p>
      <w:r/>
      <w:r>
        <w:t>Family expectations added another layer of pressure. Weekend calls could quickly turn towards marriage, while relatives might ask intrusive questions about who was sharing a home or appearing in travel records.</w:t>
      </w:r>
      <w:r/>
    </w:p>
    <w:p>
      <w:r/>
      <w:r>
        <w:t>As a result, couples often kept conversations deliberately mundane, discussing groceries, deliveries and health codes rather than the relationship itself. Some women also deleted digital traces after spending time together, particularly when official travel records could reveal their movements.</w:t>
      </w:r>
      <w:r/>
    </w:p>
    <w:p>
      <w:r/>
      <w:r>
        <w:t>Forced cohabitation brought a different strain. Small flats offered little privacy, and partners had to negotiate space, routines and rest while carrying the anxiety of possible discovery. Care could be tender, but it could also be exhausting when there was nowhere to step away.</w:t>
      </w:r>
      <w:r/>
    </w:p>
    <w:p>
      <w:r/>
      <w:r>
        <w:t>This is one reason the study's focus on care labour is important. Survival wasn't just about access to supplies. It involved constant decisions about what could be said, saved or safely shared.</w:t>
      </w:r>
      <w:r/>
    </w:p>
    <w:p>
      <w:pPr>
        <w:pStyle w:val="Heading2"/>
      </w:pPr>
      <w:r>
        <w:t>Informal networks filled gaps official systems missed</w:t>
      </w:r>
      <w:r/>
    </w:p>
    <w:p>
      <w:r/>
      <w:r>
        <w:t>The research suggests that emergency planning needs to look beyond registered households and conventional family structures. During lockdowns, friends, partners and trusted online contacts often performed tasks that formal systems didn't see.</w:t>
      </w:r>
      <w:r/>
    </w:p>
    <w:p>
      <w:r/>
      <w:r>
        <w:t>That might mean dropping medicine at a door, sharing a reliable health update or preserving advice before it vanished from a platform. According to the study, these networks helped people stay connected while avoiding exposure to relatives or authorities.</w:t>
      </w:r>
      <w:r/>
    </w:p>
    <w:p>
      <w:r/>
      <w:r>
        <w:t>The wider conversation around Xiaohongshu also shows why digital platforms can matter during disruption. Guides from That's Mandarin and Black Mango describe the service as a place where users exchange recommendations and everyday knowledge. In a crisis, that familiar social infrastructure can become a practical support system.</w:t>
      </w:r>
      <w:r/>
    </w:p>
    <w:p>
      <w:r/>
      <w:r>
        <w:t>But relying on commercial platforms has risks. Moderation decisions, account restrictions and disappearing content can erase community knowledge overnight. A mutual-aid network that has no secure archive may be effective today but difficult to rebuild tomorrow.</w:t>
      </w:r>
      <w:r/>
    </w:p>
    <w:p>
      <w:pPr>
        <w:pStyle w:val="Heading2"/>
      </w:pPr>
      <w:r>
        <w:t>What the findings mean for future emergencies</w:t>
      </w:r>
      <w:r/>
    </w:p>
    <w:p>
      <w:r/>
      <w:r>
        <w:t>The researchers argue that preparedness plans should recognise informal caregiving and protect intimate networks in health-data systems. That could include privacy-conscious communication tools, support for community archiving and funding for mutual-aid groups.</w:t>
      </w:r>
      <w:r/>
    </w:p>
    <w:p>
      <w:r/>
      <w:r>
        <w:t>The findings come with limits. Most participants lived in large cities and had university degrees, while translation from Mandarin or Cantonese inevitably loses some local texture. Even so, the accounts offer a clear reminder that official statistics rarely capture the full work of keeping people safe.</w:t>
      </w:r>
      <w:r/>
    </w:p>
    <w:p>
      <w:r/>
      <w:r>
        <w:t>There is something quietly moving about these archives. A screenshot saved at midnight or a medicine list passed between friends may seem insignificant, but together they preserve how people cared for one another when public life narrowed to a few square metres.</w:t>
      </w:r>
      <w:r/>
    </w:p>
    <w:p>
      <w:r/>
      <w:r>
        <w:t>Better emergency planning starts by noticing that work.</w:t>
      </w:r>
      <w:r/>
    </w:p>
    <w:p>
      <w:r/>
      <w:r>
        <w:t>It’s a small but powerful lesson: care networks deserve protection before the next crisis arrives.</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0">
        <w:r>
          <w:rPr>
            <w:color w:val="0000EE"/>
            <w:u w:val="single"/>
          </w:rPr>
          <w:t>[3]</w:t>
        </w:r>
      </w:hyperlink>
      <w:r>
        <w:t xml:space="preserve">, </w:t>
      </w:r>
      <w:hyperlink r:id="rId11">
        <w:r>
          <w:rPr>
            <w:color w:val="0000EE"/>
            <w:u w:val="single"/>
          </w:rPr>
          <w:t>[4]</w:t>
        </w:r>
      </w:hyperlink>
      <w:r>
        <w:t xml:space="preserve">- Paragraph 3: </w:t>
      </w:r>
      <w:hyperlink r:id="rId12">
        <w:r>
          <w:rPr>
            <w:color w:val="0000EE"/>
            <w:u w:val="single"/>
          </w:rPr>
          <w:t>[5]</w:t>
        </w:r>
      </w:hyperlink>
      <w:r>
        <w:t xml:space="preserve">, </w:t>
      </w:r>
      <w:hyperlink r:id="rId13">
        <w:r>
          <w:rPr>
            <w:color w:val="0000EE"/>
            <w:u w:val="single"/>
          </w:rPr>
          <w:t>[6]</w:t>
        </w:r>
      </w:hyperlink>
      <w:r>
        <w:t xml:space="preserve">- Paragraph 4: </w:t>
      </w:r>
      <w:hyperlink r:id="rId10">
        <w:r>
          <w:rPr>
            <w:color w:val="0000EE"/>
            <w:u w:val="single"/>
          </w:rPr>
          <w:t>[3]</w:t>
        </w:r>
      </w:hyperlink>
      <w:r>
        <w:t xml:space="preserve">, </w:t>
      </w:r>
      <w:hyperlink r:id="rId14">
        <w:r>
          <w:rPr>
            <w:color w:val="0000EE"/>
            <w:u w:val="single"/>
          </w:rPr>
          <w:t>[7]</w:t>
        </w:r>
      </w:hyperlink>
      <w:r>
        <w:t xml:space="preserve">- Paragraph 5: </w:t>
      </w:r>
      <w:hyperlink r:id="rId10">
        <w:r>
          <w:rPr>
            <w:color w:val="0000EE"/>
            <w:u w:val="single"/>
          </w:rPr>
          <w:t>[3]</w:t>
        </w:r>
      </w:hyperlink>
      <w:r>
        <w:t xml:space="preserve">, </w:t>
      </w:r>
      <w:hyperlink r:id="rId11">
        <w:r>
          <w:rPr>
            <w:color w:val="0000EE"/>
            <w:u w:val="single"/>
          </w:rPr>
          <w:t>[4]</w:t>
        </w:r>
      </w:hyperlink>
      <w:r>
        <w:t xml:space="preserve">- Paragraph 6: </w:t>
      </w:r>
      <w:hyperlink r:id="rId10">
        <w:r>
          <w:rPr>
            <w:color w:val="0000EE"/>
            <w:u w:val="single"/>
          </w:rPr>
          <w:t>[3]</w:t>
        </w:r>
      </w:hyperlink>
      <w:r>
        <w:t xml:space="preserve">, </w:t>
      </w:r>
      <w:hyperlink r:id="rId12">
        <w:r>
          <w:rPr>
            <w:color w:val="0000EE"/>
            <w:u w:val="single"/>
          </w:rPr>
          <w:t>[5]</w:t>
        </w:r>
      </w:hyperlink>
      <w:r>
        <w:t xml:space="preserve">- Paragraph 7: </w:t>
      </w:r>
      <w:hyperlink r:id="rId10">
        <w:r>
          <w:rPr>
            <w:color w:val="0000EE"/>
            <w:u w:val="single"/>
          </w:rPr>
          <w:t>[3]</w:t>
        </w:r>
      </w:hyperlink>
      <w:r>
        <w:t xml:space="preserve">, </w:t>
      </w:r>
      <w:hyperlink r:id="rId13">
        <w:r>
          <w:rPr>
            <w:color w:val="0000EE"/>
            <w:u w:val="single"/>
          </w:rPr>
          <w:t>[6]</w:t>
        </w:r>
      </w:hyperlink>
      <w:r>
        <w:t xml:space="preserve">- Paragraph 8: </w:t>
      </w:r>
      <w:hyperlink r:id="rId10">
        <w:r>
          <w:rPr>
            <w:color w:val="0000EE"/>
            <w:u w:val="single"/>
          </w:rPr>
          <w:t>[3]</w:t>
        </w:r>
      </w:hyperlink>
      <w:r>
        <w:t xml:space="preserve">, </w:t>
      </w:r>
      <w:hyperlink r:id="rId14">
        <w:r>
          <w:rPr>
            <w:color w:val="0000EE"/>
            <w:u w:val="single"/>
          </w:rPr>
          <w:t>[7]</w:t>
        </w:r>
      </w:hyperlink>
      <w:r>
        <w:t xml:space="preserve">- Paragraph 9: </w:t>
      </w:r>
      <w:hyperlink r:id="rId10">
        <w:r>
          <w:rPr>
            <w:color w:val="0000EE"/>
            <w:u w:val="single"/>
          </w:rPr>
          <w:t>[3]</w:t>
        </w:r>
      </w:hyperlink>
      <w:r>
        <w:t xml:space="preserve">, </w:t>
      </w:r>
      <w:hyperlink r:id="rId12">
        <w:r>
          <w:rPr>
            <w:color w:val="0000EE"/>
            <w:u w:val="single"/>
          </w:rPr>
          <w:t>[5]</w:t>
        </w:r>
      </w:hyperlink>
      <w:r>
        <w:t xml:space="preserve">- Paragraph 10: </w:t>
      </w:r>
      <w:hyperlink r:id="rId10">
        <w:r>
          <w:rPr>
            <w:color w:val="0000EE"/>
            <w:u w:val="single"/>
          </w:rPr>
          <w:t>[3]</w:t>
        </w:r>
      </w:hyperlink>
      <w:r>
        <w:t xml:space="preserve">, </w:t>
      </w:r>
      <w:hyperlink r:id="rId11">
        <w:r>
          <w:rPr>
            <w:color w:val="0000EE"/>
            <w:u w:val="single"/>
          </w:rPr>
          <w:t>[4]</w:t>
        </w:r>
      </w:hyperlink>
      <w:r>
        <w:t xml:space="preserve">- Paragraph 11: </w:t>
      </w:r>
      <w:hyperlink r:id="rId10">
        <w:r>
          <w:rPr>
            <w:color w:val="0000EE"/>
            <w:u w:val="single"/>
          </w:rPr>
          <w:t>[3]</w:t>
        </w:r>
      </w:hyperlink>
      <w:r>
        <w:t xml:space="preserve">, </w:t>
      </w:r>
      <w:hyperlink r:id="rId13">
        <w:r>
          <w:rPr>
            <w:color w:val="0000EE"/>
            <w:u w:val="single"/>
          </w:rPr>
          <w:t>[6]</w:t>
        </w:r>
      </w:hyperlink>
      <w:r>
        <w:t xml:space="preserve">- Paragraph 12: </w:t>
      </w:r>
      <w:hyperlink r:id="rId10">
        <w:r>
          <w:rPr>
            <w:color w:val="0000EE"/>
            <w:u w:val="single"/>
          </w:rPr>
          <w:t>[3]</w:t>
        </w:r>
      </w:hyperlink>
      <w:r>
        <w:t xml:space="preserve">, </w:t>
      </w:r>
      <w:hyperlink r:id="rId14">
        <w:r>
          <w:rPr>
            <w:color w:val="0000EE"/>
            <w:u w:val="single"/>
          </w:rPr>
          <w:t>[7]</w:t>
        </w:r>
      </w:hyperlink>
      <w:r>
        <w:t xml:space="preserve">- Paragraph 13: </w:t>
      </w:r>
      <w:hyperlink r:id="rId10">
        <w:r>
          <w:rPr>
            <w:color w:val="0000EE"/>
            <w:u w:val="single"/>
          </w:rPr>
          <w:t>[3]</w:t>
        </w:r>
      </w:hyperlink>
      <w:r>
        <w:t xml:space="preserve">, </w:t>
      </w:r>
      <w:hyperlink r:id="rId12">
        <w:r>
          <w:rPr>
            <w:color w:val="0000EE"/>
            <w:u w:val="single"/>
          </w:rPr>
          <w:t>[5]</w:t>
        </w:r>
      </w:hyperlink>
      <w:r>
        <w:t xml:space="preserve">- Paragraph 14: </w:t>
      </w:r>
      <w:hyperlink r:id="rId10">
        <w:r>
          <w:rPr>
            <w:color w:val="0000EE"/>
            <w:u w:val="single"/>
          </w:rPr>
          <w:t>[3]</w:t>
        </w:r>
      </w:hyperlink>
      <w:r>
        <w:t xml:space="preserve">, </w:t>
      </w:r>
      <w:hyperlink r:id="rId13">
        <w:r>
          <w:rPr>
            <w:color w:val="0000EE"/>
            <w:u w:val="single"/>
          </w:rPr>
          <w:t>[6]</w:t>
        </w:r>
      </w:hyperlink>
      <w:r>
        <w:t xml:space="preserve">- Paragraph 15: </w:t>
      </w:r>
      <w:hyperlink r:id="rId10">
        <w:r>
          <w:rPr>
            <w:color w:val="0000EE"/>
            <w:u w:val="single"/>
          </w:rPr>
          <w:t>[3]</w:t>
        </w:r>
      </w:hyperlink>
      <w:r>
        <w:t xml:space="preserve">, </w:t>
      </w:r>
      <w:hyperlink r:id="rId14">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https://www.psychreg.org/chinese-lesbians-used-care-routines-digital-archives-survive-covid-lockdowns/</w:t>
        </w:r>
      </w:hyperlink>
      <w:r>
        <w:t xml:space="preserve"> - Please view link - unable to able to access data</w:t>
      </w:r>
      <w:r/>
    </w:p>
    <w:p>
      <w:pPr>
        <w:pStyle w:val="ListNumber"/>
        <w:spacing w:line="240" w:lineRule="auto"/>
        <w:ind w:left="720"/>
      </w:pPr>
      <w:r/>
      <w:hyperlink r:id="rId9">
        <w:r>
          <w:rPr>
            <w:color w:val="0000EE"/>
            <w:u w:val="single"/>
          </w:rPr>
          <w:t>https://www.psychreg.org/chinese-lesbians-used-care-routines-digital-archives-survive-covid-lockdowns/</w:t>
        </w:r>
      </w:hyperlink>
      <w:r>
        <w:t xml:space="preserve"> - An article discussing how Chinese lesbians utilised intimate caregiving and digital archiving during COVID-19 lockdowns to navigate familial and state surveillance. It highlights the use of RedNote (Xiaohongshu) for sharing personal stories and survival strategies. The study suggests that official preparedness plans should recognise these informal systems and support community archives.</w:t>
      </w:r>
      <w:r/>
    </w:p>
    <w:p>
      <w:pPr>
        <w:pStyle w:val="ListNumber"/>
        <w:spacing w:line="240" w:lineRule="auto"/>
        <w:ind w:left="720"/>
      </w:pPr>
      <w:r/>
      <w:hyperlink r:id="rId10">
        <w:r>
          <w:rPr>
            <w:color w:val="0000EE"/>
            <w:u w:val="single"/>
          </w:rPr>
          <w:t>https://pubmed.ncbi.nlm.nih.gov/42234586/</w:t>
        </w:r>
      </w:hyperlink>
      <w:r>
        <w:t xml:space="preserve"> - A research article titled 'Digital lifelines, COVID-19 memories: Chinese lesbians reflecting on community and care in pandemic times.' It examines how lesbians in mainland China used intimate caregiving, digital testimony, and archival labour during and after COVID-19 to rehearse survival, preserve collective memory, and navigate familial/state surveillance. The study suggests policy implications, including support for mutual-aid caregiving and investment in community archiving. (</w:t>
      </w:r>
      <w:hyperlink r:id="rId15">
        <w:r>
          <w:rPr>
            <w:color w:val="0000EE"/>
            <w:u w:val="single"/>
          </w:rPr>
          <w:t>pubmed.ncbi.nlm.nih.gov</w:t>
        </w:r>
      </w:hyperlink>
      <w:r>
        <w:t>)</w:t>
      </w:r>
      <w:r/>
    </w:p>
    <w:p>
      <w:pPr>
        <w:pStyle w:val="ListNumber"/>
        <w:spacing w:line="240" w:lineRule="auto"/>
        <w:ind w:left="720"/>
      </w:pPr>
      <w:r/>
      <w:hyperlink r:id="rId11">
        <w:r>
          <w:rPr>
            <w:color w:val="0000EE"/>
            <w:u w:val="single"/>
          </w:rPr>
          <w:t>https://www.webopedia.com/technology/what-is-rednote-xiaohongshu/</w:t>
        </w:r>
      </w:hyperlink>
      <w:r>
        <w:t xml:space="preserve"> - An article explaining RedNote (Xiaohongshu), a Chinese social media platform that blends lifestyle content, social interaction, and e-commerce. Founded in 2013, it has over 300 million monthly users. Users create accounts to share visually rich posts, engage with others, and shop for products directly within the app, offering a unique blend of social and commercial features. (</w:t>
      </w:r>
      <w:hyperlink r:id="rId16">
        <w:r>
          <w:rPr>
            <w:color w:val="0000EE"/>
            <w:u w:val="single"/>
          </w:rPr>
          <w:t>webopedia.com</w:t>
        </w:r>
      </w:hyperlink>
      <w:r>
        <w:t>)</w:t>
      </w:r>
      <w:r/>
    </w:p>
    <w:p>
      <w:pPr>
        <w:pStyle w:val="ListNumber"/>
        <w:spacing w:line="240" w:lineRule="auto"/>
        <w:ind w:left="720"/>
      </w:pPr>
      <w:r/>
      <w:hyperlink r:id="rId12">
        <w:r>
          <w:rPr>
            <w:color w:val="0000EE"/>
            <w:u w:val="single"/>
          </w:rPr>
          <w:t>https://www.blackmango.ca/guides/what-is-xiaohongshu</w:t>
        </w:r>
      </w:hyperlink>
      <w:r>
        <w:t xml:space="preserve"> - A guide providing an overview of RedNote (Xiaohongshu), a Chinese social-search and discovery platform where people look for useful first-person content before choosing products, places, and local services. The app is listed as 'rednote' in the App Store and on Google Play, was previously called RED in English, and is Xiaohongshu (小红书) in Chinese. (</w:t>
      </w:r>
      <w:hyperlink r:id="rId17">
        <w:r>
          <w:rPr>
            <w:color w:val="0000EE"/>
            <w:u w:val="single"/>
          </w:rPr>
          <w:t>blackmango.ca</w:t>
        </w:r>
      </w:hyperlink>
      <w:r>
        <w:t>)</w:t>
      </w:r>
      <w:r/>
    </w:p>
    <w:p>
      <w:pPr>
        <w:pStyle w:val="ListNumber"/>
        <w:spacing w:line="240" w:lineRule="auto"/>
        <w:ind w:left="720"/>
      </w:pPr>
      <w:r/>
      <w:hyperlink r:id="rId13">
        <w:r>
          <w:rPr>
            <w:color w:val="0000EE"/>
            <w:u w:val="single"/>
          </w:rPr>
          <w:t>https://www.thatsmandarin.com/chinese-apps/xiaohongshu-guide/</w:t>
        </w:r>
      </w:hyperlink>
      <w:r>
        <w:t xml:space="preserve"> - A comprehensive guide to Xiaohongshu (Little Red Book or RedNote), a Chinese social media and e-commerce platform launched in 2013 where users share lifestyle content and product recommendations. It combines features of Instagram, TikTok, and Pinterest, focusing on real user experiences and honest opinions. (</w:t>
      </w:r>
      <w:hyperlink r:id="rId18">
        <w:r>
          <w:rPr>
            <w:color w:val="0000EE"/>
            <w:u w:val="single"/>
          </w:rPr>
          <w:t>thatsmandarin.com</w:t>
        </w:r>
      </w:hyperlink>
      <w:r>
        <w:t>)</w:t>
      </w:r>
      <w:r/>
    </w:p>
    <w:p>
      <w:pPr>
        <w:pStyle w:val="ListNumber"/>
        <w:spacing w:line="240" w:lineRule="auto"/>
        <w:ind w:left="720"/>
      </w:pPr>
      <w:r/>
      <w:hyperlink r:id="rId14">
        <w:r>
          <w:rPr>
            <w:color w:val="0000EE"/>
            <w:u w:val="single"/>
          </w:rPr>
          <w:t>https://knowyourmeme.com/memes/sites/rednote-xiaohongshu</w:t>
        </w:r>
      </w:hyperlink>
      <w:r>
        <w:t xml:space="preserve"> - An article about RedNote (Xiaohongshu), a Chinese social networking and e-commerce app headquartered in Shanghai, often likened to Instagram or Pinterest. Founded in 2013, it has a large user base of predominantly female urban Chinese users. The app also has video-sharing and livestreaming features. (</w:t>
      </w:r>
      <w:hyperlink r:id="rId19">
        <w:r>
          <w:rPr>
            <w:color w:val="0000EE"/>
            <w:u w:val="single"/>
          </w:rPr>
          <w:t>knowyourmeme.com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psychreg.org/chinese-lesbians-used-care-routines-digital-archives-survive-covid-lockdowns/" TargetMode="External"/><Relationship Id="rId10" Type="http://schemas.openxmlformats.org/officeDocument/2006/relationships/hyperlink" Target="https://pubmed.ncbi.nlm.nih.gov/42234586/" TargetMode="External"/><Relationship Id="rId11" Type="http://schemas.openxmlformats.org/officeDocument/2006/relationships/hyperlink" Target="https://www.webopedia.com/technology/what-is-rednote-xiaohongshu/" TargetMode="External"/><Relationship Id="rId12" Type="http://schemas.openxmlformats.org/officeDocument/2006/relationships/hyperlink" Target="https://www.blackmango.ca/guides/what-is-xiaohongshu" TargetMode="External"/><Relationship Id="rId13" Type="http://schemas.openxmlformats.org/officeDocument/2006/relationships/hyperlink" Target="https://www.thatsmandarin.com/chinese-apps/xiaohongshu-guide/" TargetMode="External"/><Relationship Id="rId14" Type="http://schemas.openxmlformats.org/officeDocument/2006/relationships/hyperlink" Target="https://knowyourmeme.com/memes/sites/rednote-xiaohongshu" TargetMode="External"/><Relationship Id="rId15" Type="http://schemas.openxmlformats.org/officeDocument/2006/relationships/hyperlink" Target="https://pubmed.ncbi.nlm.nih.gov/42234586/?utm_source=openai" TargetMode="External"/><Relationship Id="rId16" Type="http://schemas.openxmlformats.org/officeDocument/2006/relationships/hyperlink" Target="https://www.webopedia.com/technology/what-is-rednote-xiaohongshu/?utm_source=openai" TargetMode="External"/><Relationship Id="rId17" Type="http://schemas.openxmlformats.org/officeDocument/2006/relationships/hyperlink" Target="https://www.blackmango.ca/guides/what-is-xiaohongshu?utm_source=openai" TargetMode="External"/><Relationship Id="rId18" Type="http://schemas.openxmlformats.org/officeDocument/2006/relationships/hyperlink" Target="https://www.thatsmandarin.com/chinese-apps/xiaohongshu-guide/?utm_source=openai" TargetMode="External"/><Relationship Id="rId19" Type="http://schemas.openxmlformats.org/officeDocument/2006/relationships/hyperlink" Target="https://knowyourmeme.com/memes/sites/rednote-xiaohongshu?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