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for Parents to Discuss LGBT Content with Children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are facing more questions about LGBT content across social media, television and school life, but experts say calm, age-appropriate conversations matter more than panic or silence. The goal is to help children feel safe, understood and guided, while protecting their wellbeing and avoiding language that fuels shame or hostility.</w:t>
      </w:r>
      <w:r/>
    </w:p>
    <w:p>
      <w:pPr>
        <w:pStyle w:val="Heading2"/>
      </w:pPr>
      <w:r>
        <w:t>Essential Takeaways</w:t>
      </w:r>
      <w:r/>
      <w:r/>
    </w:p>
    <w:p>
      <w:pPr>
        <w:pStyle w:val="ListBullet"/>
        <w:spacing w:line="240" w:lineRule="auto"/>
        <w:ind w:left="720"/>
      </w:pPr>
      <w:r/>
      <w:r>
        <w:rPr>
          <w:b/>
        </w:rPr>
        <w:t>Age matters:</w:t>
      </w:r>
      <w:r>
        <w:t xml:space="preserve"> Children need explanations that match their development and ability to understand abstract ideas.</w:t>
      </w:r>
      <w:r/>
    </w:p>
    <w:p>
      <w:pPr>
        <w:pStyle w:val="ListBullet"/>
        <w:spacing w:line="240" w:lineRule="auto"/>
        <w:ind w:left="720"/>
      </w:pPr>
      <w:r/>
      <w:r>
        <w:rPr>
          <w:b/>
        </w:rPr>
        <w:t>Keep the door open:</w:t>
      </w:r>
      <w:r>
        <w:t xml:space="preserve"> A calm, listening-first approach makes it easier for children to ask difficult questions.</w:t>
      </w:r>
      <w:r/>
    </w:p>
    <w:p>
      <w:pPr>
        <w:pStyle w:val="ListBullet"/>
        <w:spacing w:line="240" w:lineRule="auto"/>
        <w:ind w:left="720"/>
      </w:pPr>
      <w:r/>
      <w:r>
        <w:rPr>
          <w:b/>
        </w:rPr>
        <w:t>Avoid simple cause-and-effect claims:</w:t>
      </w:r>
      <w:r>
        <w:t xml:space="preserve"> Exposure to content alone doesn't determine a young person's identity or orientation.</w:t>
      </w:r>
      <w:r/>
    </w:p>
    <w:p>
      <w:pPr>
        <w:pStyle w:val="ListBullet"/>
        <w:spacing w:line="240" w:lineRule="auto"/>
        <w:ind w:left="720"/>
      </w:pPr>
      <w:r/>
      <w:r>
        <w:rPr>
          <w:b/>
        </w:rPr>
        <w:t>Look beyond labels:</w:t>
      </w:r>
      <w:r>
        <w:t xml:space="preserve"> Curiosity, peer pressure, loneliness and body-image worries can all shape how teenagers describe their experiences.</w:t>
      </w:r>
      <w:r/>
    </w:p>
    <w:p>
      <w:pPr>
        <w:pStyle w:val="ListBullet"/>
        <w:spacing w:line="240" w:lineRule="auto"/>
        <w:ind w:left="720"/>
      </w:pPr>
      <w:r/>
      <w:r>
        <w:rPr>
          <w:b/>
        </w:rPr>
        <w:t>Make digital rules practical:</w:t>
      </w:r>
      <w:r>
        <w:t xml:space="preserve"> Screen boundaries should protect sleep, privacy and mental wellbeing, not simply punish or frighten.</w:t>
      </w:r>
      <w:r/>
      <w:r/>
    </w:p>
    <w:p>
      <w:pPr>
        <w:pStyle w:val="Heading2"/>
      </w:pPr>
      <w:r>
        <w:t>Calm conversations work better than culture-war language</w:t>
      </w:r>
      <w:r/>
    </w:p>
    <w:p>
      <w:r/>
      <w:r>
        <w:t>A child's question about LGBT content can arrive suddenly, perhaps after a video, a television storyline or a comment from a friend. The instinct to shut the subject down may be understandable, but research on family communication consistently points towards the value of openness, warmth and parental support. Studies indexed by PubMed have linked supportive family environments with better wellbeing among young people navigating sexuality and identity-related questions. (</w:t>
      </w:r>
      <w:hyperlink r:id="rId9">
        <w:r>
          <w:rPr>
            <w:color w:val="0000EE"/>
            <w:u w:val="single"/>
          </w:rPr>
          <w:t>[3]</w:t>
        </w:r>
      </w:hyperlink>
      <w:r>
        <w:t xml:space="preserve">, </w:t>
      </w:r>
      <w:hyperlink r:id="rId10">
        <w:r>
          <w:rPr>
            <w:color w:val="0000EE"/>
            <w:u w:val="single"/>
          </w:rPr>
          <w:t>[5]</w:t>
        </w:r>
      </w:hyperlink>
      <w:r>
        <w:t>)</w:t>
      </w:r>
      <w:r/>
    </w:p>
    <w:p>
      <w:r/>
      <w:r>
        <w:t>That doesn't mean parents have to answer every question perfectly. It means creating enough emotional safety for a child to say, "I don't understand this," without expecting anger, ridicule or an instant verdict. A steady tone is often more useful than a dramatic speech, especially when a young person is already feeling embarrassed.</w:t>
      </w:r>
      <w:r/>
    </w:p>
    <w:p>
      <w:pPr>
        <w:pStyle w:val="Heading2"/>
      </w:pPr>
      <w:r>
        <w:t>Why age-appropriate explanations matter</w:t>
      </w:r>
      <w:r/>
    </w:p>
    <w:p>
      <w:r/>
      <w:r>
        <w:t>Children don't all process complex social and identity questions in the same way. Younger children may need simple explanations about difference, kindness and privacy, while teenagers may want to discuss identity, relationships, social pressure and the language they see online. Developmental research suggests that adolescents are particularly sensitive to peers, social approval and emotional cues, which can make online conversations feel unusually intense. (</w:t>
      </w:r>
      <w:hyperlink r:id="rId11">
        <w:r>
          <w:rPr>
            <w:color w:val="0000EE"/>
            <w:u w:val="single"/>
          </w:rPr>
          <w:t>[2]</w:t>
        </w:r>
      </w:hyperlink>
      <w:r>
        <w:t xml:space="preserve">, </w:t>
      </w:r>
      <w:hyperlink r:id="rId12">
        <w:r>
          <w:rPr>
            <w:color w:val="0000EE"/>
            <w:u w:val="single"/>
          </w:rPr>
          <w:t>[4]</w:t>
        </w:r>
      </w:hyperlink>
      <w:r>
        <w:t>)</w:t>
      </w:r>
      <w:r/>
    </w:p>
    <w:p>
      <w:r/>
      <w:r>
        <w:t>Parents can start with a gentle question: "What did you hear?" or "What made you wonder about that?" This helps separate the child's actual concern from assumptions adults may bring to the conversation. It also makes room for a useful pause before offering information, which is rarely a bad idea when the subject is emotionally charged.</w:t>
      </w:r>
      <w:r/>
    </w:p>
    <w:p>
      <w:pPr>
        <w:pStyle w:val="Heading2"/>
      </w:pPr>
      <w:r>
        <w:t>Social media can add pressure, but it isn't the whole story</w:t>
      </w:r>
      <w:r/>
    </w:p>
    <w:p>
      <w:r/>
      <w:r>
        <w:t>Platforms, influencers and online communities can give teenagers language for feelings they haven't previously been able to describe. They can also expose young people to hostile comments, exaggerated claims or pressure to adopt a label quickly. Research on adolescent identity development shows that digital spaces can influence self-presentation and belonging, but identity is shaped by many overlapping factors rather than one piece of content. (</w:t>
      </w:r>
      <w:hyperlink r:id="rId12">
        <w:r>
          <w:rPr>
            <w:color w:val="0000EE"/>
            <w:u w:val="single"/>
          </w:rPr>
          <w:t>[4]</w:t>
        </w:r>
      </w:hyperlink>
      <w:r>
        <w:t xml:space="preserve">, </w:t>
      </w:r>
      <w:hyperlink r:id="rId13">
        <w:r>
          <w:rPr>
            <w:color w:val="0000EE"/>
            <w:u w:val="single"/>
          </w:rPr>
          <w:t>[7]</w:t>
        </w:r>
      </w:hyperlink>
      <w:r>
        <w:t>)</w:t>
      </w:r>
      <w:r/>
    </w:p>
    <w:p>
      <w:r/>
      <w:r>
        <w:t>That distinction matters. Parents shouldn't assume that seeing LGBT content creates a particular orientation, just as they shouldn't dismiss a child's feelings as a passing internet trend. PubMed-indexed research supports a more nuanced view, recognising the roles of development, relationships, mental health and social context. (</w:t>
      </w:r>
      <w:hyperlink r:id="rId9">
        <w:r>
          <w:rPr>
            <w:color w:val="0000EE"/>
            <w:u w:val="single"/>
          </w:rPr>
          <w:t>[3]</w:t>
        </w:r>
      </w:hyperlink>
      <w:r>
        <w:t xml:space="preserve">, </w:t>
      </w:r>
      <w:hyperlink r:id="rId14">
        <w:r>
          <w:rPr>
            <w:color w:val="0000EE"/>
            <w:u w:val="single"/>
          </w:rPr>
          <w:t>[6]</w:t>
        </w:r>
      </w:hyperlink>
      <w:r>
        <w:t>)</w:t>
      </w:r>
      <w:r/>
    </w:p>
    <w:p>
      <w:r/>
      <w:r>
        <w:t>A practical response is to review online habits together. Check privacy settings, discuss recommendation algorithms and agree on reasonable screen-free periods, particularly around bedtime. The aim is digital hygiene, not surveillance for its own sake.</w:t>
      </w:r>
      <w:r/>
    </w:p>
    <w:p>
      <w:pPr>
        <w:pStyle w:val="Heading2"/>
      </w:pPr>
      <w:r>
        <w:t>What should parents say when a teenager uses a label?</w:t>
      </w:r>
      <w:r/>
    </w:p>
    <w:p>
      <w:r/>
      <w:r>
        <w:t>Listen first, then ask what the label means to the young person. One teenager may be seeking community, another may be describing a persistent feeling, and another may simply be testing language they encountered online. Treating every statement as either a final declaration or a meaningless phase can close the conversation at exactly the moment trust is needed. (</w:t>
      </w:r>
      <w:hyperlink r:id="rId11">
        <w:r>
          <w:rPr>
            <w:color w:val="0000EE"/>
            <w:u w:val="single"/>
          </w:rPr>
          <w:t>[2]</w:t>
        </w:r>
      </w:hyperlink>
      <w:r>
        <w:t xml:space="preserve">, </w:t>
      </w:r>
      <w:hyperlink r:id="rId14">
        <w:r>
          <w:rPr>
            <w:color w:val="0000EE"/>
            <w:u w:val="single"/>
          </w:rPr>
          <w:t>[6]</w:t>
        </w:r>
      </w:hyperlink>
      <w:r>
        <w:t>)</w:t>
      </w:r>
      <w:r/>
    </w:p>
    <w:p>
      <w:r/>
      <w:r>
        <w:t>Parents can acknowledge uncertainty without dismissing the child: "You don't have to work everything out today, but you can always talk to me." This doesn't remove boundaries or parental responsibility. It simply avoids turning a developing conversation into a courtroom.</w:t>
      </w:r>
      <w:r/>
    </w:p>
    <w:p>
      <w:r/>
      <w:r>
        <w:t>If a teenager appears distressed, withdrawn or frightened, the issue may be bigger than the label itself. Sleep problems, bullying, self-harm thoughts, disordered eating and persistent anxiety warrant support from a qualified mental-health professional. Evidence from research on sexual-minority youth also underlines the importance of reducing stigma and strengthening protective relationships. (</w:t>
      </w:r>
      <w:hyperlink r:id="rId10">
        <w:r>
          <w:rPr>
            <w:color w:val="0000EE"/>
            <w:u w:val="single"/>
          </w:rPr>
          <w:t>[5]</w:t>
        </w:r>
      </w:hyperlink>
      <w:r>
        <w:t xml:space="preserve">, </w:t>
      </w:r>
      <w:hyperlink r:id="rId13">
        <w:r>
          <w:rPr>
            <w:color w:val="0000EE"/>
            <w:u w:val="single"/>
          </w:rPr>
          <w:t>[7]</w:t>
        </w:r>
      </w:hyperlink>
      <w:r>
        <w:t>)</w:t>
      </w:r>
      <w:r/>
    </w:p>
    <w:p>
      <w:pPr>
        <w:pStyle w:val="Heading2"/>
      </w:pPr>
      <w:r>
        <w:t>Schools and families need a shared approach</w:t>
      </w:r>
      <w:r/>
    </w:p>
    <w:p>
      <w:r/>
      <w:r>
        <w:t>When these questions arise at school, parents, teachers and pastoral staff can easily end up talking past one another. A better approach keeps the child's welfare at the centre, with clear communication about what has happened, what support is available and where family involvement is appropriate. Research on school climate and adolescent wellbeing repeatedly highlights the protective value of safety, belonging and trusted adults. (</w:t>
      </w:r>
      <w:hyperlink r:id="rId9">
        <w:r>
          <w:rPr>
            <w:color w:val="0000EE"/>
            <w:u w:val="single"/>
          </w:rPr>
          <w:t>[3]</w:t>
        </w:r>
      </w:hyperlink>
      <w:r>
        <w:t xml:space="preserve">, </w:t>
      </w:r>
      <w:hyperlink r:id="rId13">
        <w:r>
          <w:rPr>
            <w:color w:val="0000EE"/>
            <w:u w:val="single"/>
          </w:rPr>
          <w:t>[7]</w:t>
        </w:r>
      </w:hyperlink>
      <w:r>
        <w:t>)</w:t>
      </w:r>
      <w:r/>
    </w:p>
    <w:p>
      <w:r/>
      <w:r>
        <w:t>That doesn't mean every family will agree on language, values or policy. It does mean adults should avoid humiliating a child, exposing private information unnecessarily or allowing disagreement to become personal hostility. A calm home, a respectful school and a reliable support network can give young people room to think without feeling pushed into secrecy.</w:t>
      </w:r>
      <w:r/>
    </w:p>
    <w:p>
      <w:r/>
      <w:r>
        <w:t>The most useful question isn't whether parents can control every message a child encounters. They can't. It's whether the child knows where to go when a message feels confusing, upsetting or hard to interpret. (</w:t>
      </w:r>
      <w:hyperlink r:id="rId12">
        <w:r>
          <w:rPr>
            <w:color w:val="0000EE"/>
            <w:u w:val="single"/>
          </w:rPr>
          <w:t>[4]</w:t>
        </w:r>
      </w:hyperlink>
      <w:r>
        <w:t xml:space="preserve">, </w:t>
      </w:r>
      <w:hyperlink r:id="rId14">
        <w:r>
          <w:rPr>
            <w:color w:val="0000EE"/>
            <w:u w:val="single"/>
          </w:rPr>
          <w:t>[6]</w:t>
        </w:r>
      </w:hyperlink>
      <w:r>
        <w:t>)</w:t>
      </w:r>
      <w:r/>
    </w:p>
    <w:p>
      <w:r/>
      <w:r>
        <w:t>It's a small change in tone, but it can keep a difficult conversation safely open.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[5]</w:t>
        </w:r>
      </w:hyperlink>
      <w:r>
        <w:t xml:space="preserve">- Paragraph 2: </w:t>
      </w:r>
      <w:hyperlink r:id="rId11">
        <w:r>
          <w:rPr>
            <w:color w:val="0000EE"/>
            <w:u w:val="single"/>
          </w:rPr>
          <w:t>[2]</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9">
        <w:r>
          <w:rPr>
            <w:color w:val="0000EE"/>
            <w:u w:val="single"/>
          </w:rPr>
          <w:t>[3]</w:t>
        </w:r>
      </w:hyperlink>
      <w:r>
        <w:t xml:space="preserve">, </w:t>
      </w:r>
      <w:hyperlink r:id="rId14">
        <w:r>
          <w:rPr>
            <w:color w:val="0000EE"/>
            <w:u w:val="single"/>
          </w:rPr>
          <w:t>[6]</w:t>
        </w:r>
      </w:hyperlink>
      <w:r>
        <w:t xml:space="preserve">- Paragraph 5: </w:t>
      </w:r>
      <w:hyperlink r:id="rId11">
        <w:r>
          <w:rPr>
            <w:color w:val="0000EE"/>
            <w:u w:val="single"/>
          </w:rPr>
          <w:t>[2]</w:t>
        </w:r>
      </w:hyperlink>
      <w:r>
        <w:t xml:space="preserve">, </w:t>
      </w:r>
      <w:hyperlink r:id="rId14">
        <w:r>
          <w:rPr>
            <w:color w:val="0000EE"/>
            <w:u w:val="single"/>
          </w:rPr>
          <w:t>[6]</w:t>
        </w:r>
      </w:hyperlink>
      <w:r>
        <w:t xml:space="preserve">- Paragraph 6: </w:t>
      </w:r>
      <w:hyperlink r:id="rId10">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[3]</w:t>
        </w:r>
      </w:hyperlink>
      <w:r>
        <w:t xml:space="preserve">, </w:t>
      </w:r>
      <w:hyperlink r:id="rId13">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https://www.haberler.com/guncel/ailelere-lgbt-icerikleri-konusunda-guvenli-20231784-haberi/</w:t>
        </w:r>
      </w:hyperlink>
      <w:r>
        <w:t xml:space="preserve"> - Please view link - unable to able to access data</w:t>
      </w:r>
      <w:r/>
    </w:p>
    <w:p>
      <w:pPr>
        <w:pStyle w:val="ListNumber"/>
        <w:spacing w:line="240" w:lineRule="auto"/>
        <w:ind w:left="720"/>
      </w:pPr>
      <w:r/>
      <w:hyperlink r:id="rId11">
        <w:r>
          <w:rPr>
            <w:color w:val="0000EE"/>
            <w:u w:val="single"/>
          </w:rPr>
          <w:t>https://www.sciencedirect.com/science/article/abs/pii/S0222961721001483</w:t>
        </w:r>
      </w:hyperlink>
      <w:r>
        <w:t xml:space="preserve"> - This systematic literature review examines the effects of internalized homophobia on the mental health and social adaptation of homosexual parents and their children. The study found that internalized homophobia leads to psychological disturbances in both parents and children. However, the sexual orientation of parents does not negatively impact the cognitive and emotional development of the child or their sexual orientation. The review emphasizes the need for further research to identify factors that promote the internalization of homophobia.</w:t>
      </w:r>
      <w:r/>
    </w:p>
    <w:p>
      <w:pPr>
        <w:pStyle w:val="ListNumber"/>
        <w:spacing w:line="240" w:lineRule="auto"/>
        <w:ind w:left="720"/>
      </w:pPr>
      <w:r/>
      <w:hyperlink r:id="rId9">
        <w:r>
          <w:rPr>
            <w:color w:val="0000EE"/>
            <w:u w:val="single"/>
          </w:rPr>
          <w:t>https://pubmed.ncbi.nlm.nih.gov/33033471/</w:t>
        </w:r>
      </w:hyperlink>
      <w:r>
        <w:t xml:space="preserve"> - This study investigates the impact of parental responsiveness toward gay, lesbian, and bisexual (GLB) children on their mental health two years later. The findings suggest that supportive parenting is associated with better mental health outcomes for GLB children, highlighting the importance of parental support in the well-being of sexual minority youth.</w:t>
      </w:r>
      <w:r/>
    </w:p>
    <w:p>
      <w:pPr>
        <w:pStyle w:val="ListNumber"/>
        <w:spacing w:line="240" w:lineRule="auto"/>
        <w:ind w:left="720"/>
      </w:pPr>
      <w:r/>
      <w:hyperlink r:id="rId12">
        <w:r>
          <w:rPr>
            <w:color w:val="0000EE"/>
            <w:u w:val="single"/>
          </w:rPr>
          <w:t>https://www.sciencedirect.com/science/article/pii/S0193397324000844</w:t>
        </w:r>
      </w:hyperlink>
      <w:r>
        <w:t xml:space="preserve"> - This research explores children's implicit and explicit attitudes and stereotypes about same-gender parent families. The study reveals that children exhibit implicit biases favoring different-gender couples over same-gender couples and endorse stereotypes related to gender non-conformity. The findings underscore the need for interventions to address these biases and promote acceptance of diverse family structures.</w:t>
      </w:r>
      <w:r/>
    </w:p>
    <w:p>
      <w:pPr>
        <w:pStyle w:val="ListNumber"/>
        <w:spacing w:line="240" w:lineRule="auto"/>
        <w:ind w:left="720"/>
      </w:pPr>
      <w:r/>
      <w:hyperlink r:id="rId10">
        <w:r>
          <w:rPr>
            <w:color w:val="0000EE"/>
            <w:u w:val="single"/>
          </w:rPr>
          <w:t>https://pubmed.ncbi.nlm.nih.gov/19042752/</w:t>
        </w:r>
      </w:hyperlink>
      <w:r>
        <w:t xml:space="preserve"> - This study assesses the influence of protective factors on the psychological adjustment of children who have experienced homophobia and whose mothers are participants in a longitudinal study of planned lesbian families. The research highlights the importance of protective factors in mitigating the negative effects of homophobia on children's psychological well-being.</w:t>
      </w:r>
      <w:r/>
    </w:p>
    <w:p>
      <w:pPr>
        <w:pStyle w:val="ListNumber"/>
        <w:spacing w:line="240" w:lineRule="auto"/>
        <w:ind w:left="720"/>
      </w:pPr>
      <w:r/>
      <w:hyperlink r:id="rId14">
        <w:r>
          <w:rPr>
            <w:color w:val="0000EE"/>
            <w:u w:val="single"/>
          </w:rPr>
          <w:t>https://pubmed.ncbi.nlm.nih.gov/33900156/</w:t>
        </w:r>
      </w:hyperlink>
      <w:r>
        <w:t xml:space="preserve"> - This experiment examines parents' responses to stories about same-sex attraction in children's television. The study finds that parents with conservative attitudes perceive such content as more threatening and less valuable for all children, which enhances their desire to criticize, restrict, and censor that content.</w:t>
      </w:r>
      <w:r/>
    </w:p>
    <w:p>
      <w:pPr>
        <w:pStyle w:val="ListNumber"/>
        <w:spacing w:line="240" w:lineRule="auto"/>
        <w:ind w:left="720"/>
      </w:pPr>
      <w:r/>
      <w:hyperlink r:id="rId13">
        <w:r>
          <w:rPr>
            <w:color w:val="0000EE"/>
            <w:u w:val="single"/>
          </w:rPr>
          <w:t>https://doi.org/10.1007/s13178-024-01007-1</w:t>
        </w:r>
      </w:hyperlink>
      <w:r>
        <w:t xml:space="preserve"> - This meta-analysis evaluates child psychological adjustment in planned gay father families. The study concludes that children raised in these families exhibit psychological adjustment comparable to children raised in heterosexual parent families, suggesting that family structure does not adversely affect child development.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33033471/" TargetMode="External"/><Relationship Id="rId10" Type="http://schemas.openxmlformats.org/officeDocument/2006/relationships/hyperlink" Target="https://pubmed.ncbi.nlm.nih.gov/19042752/" TargetMode="External"/><Relationship Id="rId11" Type="http://schemas.openxmlformats.org/officeDocument/2006/relationships/hyperlink" Target="https://www.sciencedirect.com/science/article/abs/pii/S0222961721001483" TargetMode="External"/><Relationship Id="rId12" Type="http://schemas.openxmlformats.org/officeDocument/2006/relationships/hyperlink" Target="https://www.sciencedirect.com/science/article/pii/S0193397324000844" TargetMode="External"/><Relationship Id="rId13" Type="http://schemas.openxmlformats.org/officeDocument/2006/relationships/hyperlink" Target="https://doi.org/10.1007/s13178-024-01007-1" TargetMode="External"/><Relationship Id="rId14" Type="http://schemas.openxmlformats.org/officeDocument/2006/relationships/hyperlink" Target="https://pubmed.ncbi.nlm.nih.gov/33900156/" TargetMode="External"/><Relationship Id="rId15" Type="http://schemas.openxmlformats.org/officeDocument/2006/relationships/hyperlink" Target="https://www.haberler.com/guncel/ailelere-lgbt-icerikleri-konusunda-guvenli-20231784-haber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