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The Latest LGBTQ+ Youth Trends Shaping Community and Support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LGBTQ+ young people in the United States are finding new ways to build community, pursue education and enter the workplace, even as mental-health pressures, discrimination and housing insecurity persist. The latest figures show why visibility matters, but also why practical support must keep pace with a rapidly changing generation.</w:t>
      </w:r>
      <w:r/>
    </w:p>
    <w:p>
      <w:pPr>
        <w:pStyle w:val="Heading2"/>
      </w:pPr>
      <w:r>
        <w:t>A more visible generation is coming of age</w:t>
      </w:r>
      <w:r/>
    </w:p>
    <w:p>
      <w:r/>
      <w:r>
        <w:t>The number of Americans openly identifying as LGBTQ+ has grown, with younger adults leading that shift. Gallup reported that 9% of US adults identified as LGBTQ+ in 2024, rising to roughly 23% among adults under 30. That makes LGBTQ+ identity a more visible part of everyday life, from classrooms and workplaces to social feeds and family conversations.</w:t>
      </w:r>
      <w:r/>
    </w:p>
    <w:p>
      <w:r/>
      <w:r>
        <w:t>Visibility can be empowering, especially for young people who once struggled to find relatable role models. But it isn't a guarantee of safety or acceptance. A public identity may bring connection and confidence, yet it can also expose someone to hostility, pressure or unwanted attention.</w:t>
      </w:r>
      <w:r/>
    </w:p>
    <w:p>
      <w:pPr>
        <w:pStyle w:val="Heading2"/>
      </w:pPr>
      <w:r>
        <w:t>Mental health support remains urgent</w:t>
      </w:r>
      <w:r/>
    </w:p>
    <w:p>
      <w:r/>
      <w:r>
        <w:t>The most troubling figures concern emotional wellbeing. The Trevor Project's 2024 survey found that 39% of LGBTQ+ respondents aged 13 to 24 had seriously considered suicide during the previous year, underlining the scale of the challenge rather than suggesting that identity itself is the cause.</w:t>
      </w:r>
      <w:r/>
    </w:p>
    <w:p>
      <w:r/>
      <w:r>
        <w:t>Supportive relationships can make a meaningful difference. Families, schools, healthcare providers and community groups all have a role to play, particularly when a young person is dealing with rejection, isolation or fear. A trusted adult and an affirming space may sound simple, but they can become a vital lifeline.</w:t>
      </w:r>
      <w:r/>
    </w:p>
    <w:p>
      <w:r/>
      <w:r>
        <w:t>For anyone supporting an LGBTQ+ young person, listening without judgement is a practical first step. Helping them find culturally competent mental-health care, youth organisations or crisis support can also turn concern into something useful and immediate.</w:t>
      </w:r>
      <w:r/>
    </w:p>
    <w:p>
      <w:pPr>
        <w:pStyle w:val="Heading2"/>
      </w:pPr>
      <w:r>
        <w:t>Education brings opportunity, but not always security</w:t>
      </w:r>
      <w:r/>
    </w:p>
    <w:p>
      <w:r/>
      <w:r>
        <w:t>Many LGBTQ+ young people finish school and continue into university, college or technical training. Yet family rejection, unstable housing, financial strain and discrimination can interrupt that progress, leaving talent to compete with circumstances that have little to do with ability.</w:t>
      </w:r>
      <w:r/>
    </w:p>
    <w:p>
      <w:r/>
      <w:r>
        <w:t>Transgender and non-binary students may face additional worries around school safety, facilities and access to informed support. Policies matter, but so do everyday details, including whether staff use a student's name, whether reporting systems feel credible and whether help is easy to find.</w:t>
      </w:r>
      <w:r/>
    </w:p>
    <w:p>
      <w:r/>
      <w:r>
        <w:t>The most effective support is often practical rather than symbolic. Safe accommodation, discreet advice, inclusive student services and adults who take concerns seriously can help young people stay focused on learning instead of simply getting through the day.</w:t>
      </w:r>
      <w:r/>
    </w:p>
    <w:p>
      <w:pPr>
        <w:pStyle w:val="Heading2"/>
      </w:pPr>
      <w:r>
        <w:t>Digital spaces are community hubs, with caveats</w:t>
      </w:r>
      <w:r/>
    </w:p>
    <w:p>
      <w:r/>
      <w:r>
        <w:t>Social platforms and private online groups have changed how LGBTQ+ youth meet one another. TikTok, Instagram, YouTube and smaller networks can provide friendship and reassurance, particularly for people living far from dedicated LGBTQ+ organisations.</w:t>
      </w:r>
      <w:r/>
    </w:p>
    <w:p>
      <w:r/>
      <w:r>
        <w:t>There is a softer side to that connection: a late-night message, a familiar story or a creator explaining an experience can make a solitary room feel less lonely. Still, online spaces also carry risks, including harassment, misinformation, comparison and the relentless pressure to perform a version of oneself.</w:t>
      </w:r>
      <w:r/>
    </w:p>
    <w:p>
      <w:r/>
      <w:r>
        <w:t>Young people can protect their headspace by reviewing privacy settings, muting hostile accounts and keeping a balance between online contact and trusted offline relationships. Community doesn't have to be entirely digital, even when the internet is where it first begins.</w:t>
      </w:r>
      <w:r/>
    </w:p>
    <w:p>
      <w:pPr>
        <w:pStyle w:val="Heading2"/>
      </w:pPr>
      <w:r>
        <w:t>Work and community are being redesigned</w:t>
      </w:r>
      <w:r/>
    </w:p>
    <w:p>
      <w:r/>
      <w:r>
        <w:t>LGBTQ+ young adults are entering fields ranging from healthcare and education to technology, communications, creative work and entrepreneurship. Many are looking for employers that offer flexibility, inclusion and a sense of purpose, while remote and hybrid roles have widened access for some workers.</w:t>
      </w:r>
      <w:r/>
    </w:p>
    <w:p>
      <w:r/>
      <w:r>
        <w:t>That progress isn't evenly shared. Economic inequality and workplace discrimination remain real concerns, so an inclusive slogan on a careers page isn't enough. Clear policies, fair progression, reliable reporting routes and managers who act consistently matter far more than decorative branding.</w:t>
      </w:r>
      <w:r/>
    </w:p>
    <w:p>
      <w:r/>
      <w:r>
        <w:t>Community is changing in similar ways. Younger people may be less tied to traditional bars or long-established institutions, instead finding belonging through campuses, sports, cultural events, workplaces, community centres and youth groups. It's a broader, more flexible map of connection, and one that gives people more ways to find the right fit.</w:t>
      </w:r>
      <w:r/>
    </w:p>
    <w:p>
      <w:pPr>
        <w:pStyle w:val="Heading2"/>
      </w:pPr>
      <w:r>
        <w:t>Visibility must lead to opportunity</w:t>
      </w:r>
      <w:r/>
    </w:p>
    <w:p>
      <w:r/>
      <w:r>
        <w:t>The central lesson is straightforward: recognition is valuable, but support is what makes recognition meaningful. If LGBTQ+ youth are to thrive rather than merely endure, they need safe schools, stable housing, accessible healthcare, welcoming workplaces and communities that leave room for difference.</w:t>
      </w:r>
      <w:r/>
    </w:p>
    <w:p>
      <w:r/>
      <w:r>
        <w:t>That responsibility belongs to families, institutions, employers and local communities alike. The future shouldn't be framed only around the obstacles young people face; it should also reflect their ambition, creativity and ability to reshape belonging on their own terms.</w:t>
      </w:r>
      <w:r/>
    </w:p>
    <w:p>
      <w:r/>
      <w:r>
        <w:t>Small, dependable acts of support can help turn visibility into a genuinely safer future.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Paragraph 2: </w:t>
      </w:r>
      <w:hyperlink r:id="rId10">
        <w:r>
          <w:rPr>
            <w:color w:val="0000EE"/>
            <w:u w:val="single"/>
          </w:rPr>
          <w:t>[2]</w:t>
        </w:r>
      </w:hyperlink>
      <w:r>
        <w:t xml:space="preserve">, </w:t>
      </w:r>
      <w:hyperlink r:id="rId11">
        <w:r>
          <w:rPr>
            <w:color w:val="0000EE"/>
            <w:u w:val="single"/>
          </w:rPr>
          <w:t>[3]</w:t>
        </w:r>
      </w:hyperlink>
      <w:r>
        <w:t xml:space="preserve">- Paragraph 3: </w:t>
      </w:r>
      <w:hyperlink r:id="rId11">
        <w:r>
          <w:rPr>
            <w:color w:val="0000EE"/>
            <w:u w:val="single"/>
          </w:rPr>
          <w:t>[3]</w:t>
        </w:r>
      </w:hyperlink>
      <w:r>
        <w:t xml:space="preserve">- Paragraph 4: </w:t>
      </w:r>
      <w:hyperlink r:id="rId11">
        <w:r>
          <w:rPr>
            <w:color w:val="0000EE"/>
            <w:u w:val="single"/>
          </w:rPr>
          <w:t>[3]</w:t>
        </w:r>
      </w:hyperlink>
      <w:r>
        <w:t xml:space="preserve">- Paragraph 5: </w:t>
      </w:r>
      <w:hyperlink r:id="rId11">
        <w:r>
          <w:rPr>
            <w:color w:val="0000EE"/>
            <w:u w:val="single"/>
          </w:rPr>
          <w:t>[3]</w:t>
        </w:r>
      </w:hyperlink>
      <w:r>
        <w:t xml:space="preserve">- Paragraph 6: </w:t>
      </w:r>
      <w:hyperlink r:id="rId11">
        <w:r>
          <w:rPr>
            <w:color w:val="0000EE"/>
            <w:u w:val="single"/>
          </w:rPr>
          <w:t>[3]</w:t>
        </w:r>
      </w:hyperlink>
      <w:r>
        <w:t xml:space="preserve">- Paragraph 7: </w:t>
      </w:r>
      <w:hyperlink r:id="rId11">
        <w:r>
          <w:rPr>
            <w:color w:val="0000EE"/>
            <w:u w:val="single"/>
          </w:rPr>
          <w:t>[3]</w:t>
        </w:r>
      </w:hyperlink>
      <w:r>
        <w:t xml:space="preserve">- Paragraph 8: </w:t>
      </w:r>
      <w:hyperlink r:id="rId11">
        <w:r>
          <w:rPr>
            <w:color w:val="0000EE"/>
            <w:u w:val="single"/>
          </w:rPr>
          <w:t>[3]</w:t>
        </w:r>
      </w:hyperlink>
      <w:r>
        <w:t xml:space="preserve">- Paragraph 9: </w:t>
      </w:r>
      <w:hyperlink r:id="rId11">
        <w:r>
          <w:rPr>
            <w:color w:val="0000EE"/>
            <w:u w:val="single"/>
          </w:rPr>
          <w:t>[3]</w:t>
        </w:r>
      </w:hyperlink>
      <w:r>
        <w:t xml:space="preserve">- Paragraph 10: </w:t>
      </w:r>
      <w:hyperlink r:id="rId11">
        <w:r>
          <w:rPr>
            <w:color w:val="0000EE"/>
            <w:u w:val="single"/>
          </w:rPr>
          <w:t>[3]</w:t>
        </w:r>
      </w:hyperlink>
      <w:r>
        <w:t xml:space="preserve">- Paragraph 11: </w:t>
      </w:r>
      <w:hyperlink r:id="rId11">
        <w:r>
          <w:rPr>
            <w:color w:val="0000EE"/>
            <w:u w:val="single"/>
          </w:rPr>
          <w:t>[3]</w:t>
        </w:r>
      </w:hyperlink>
      <w:r>
        <w:t xml:space="preserve">- Paragraph 12: </w:t>
      </w:r>
      <w:hyperlink r:id="rId11">
        <w:r>
          <w:rPr>
            <w:color w:val="0000EE"/>
            <w:u w:val="single"/>
          </w:rPr>
          <w:t>[3]</w:t>
        </w:r>
      </w:hyperlink>
      <w:r>
        <w:t xml:space="preserve">- Paragraph 13: </w:t>
      </w:r>
      <w:hyperlink r:id="rId11">
        <w:r>
          <w:rPr>
            <w:color w:val="0000EE"/>
            <w:u w:val="single"/>
          </w:rPr>
          <w:t>[3]</w:t>
        </w:r>
      </w:hyperlink>
      <w:r>
        <w:t xml:space="preserve">- Paragraph 14: </w:t>
      </w:r>
      <w:hyperlink r:id="rId11">
        <w:r>
          <w:rPr>
            <w:color w:val="0000EE"/>
            <w:u w:val="single"/>
          </w:rPr>
          <w:t>[3]</w:t>
        </w:r>
      </w:hyperlink>
      <w:r>
        <w:t xml:space="preserve">- Paragraph 15: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https://hotspotsmagazine.com/2026/09/11/from-the-publisher-the-state-of-lgbtq-youth/?utm_source=rss&amp;utm_medium=rss&amp;utm_campaign=from-the-publisher-the-state-of-lgbtq-youth</w:t>
        </w:r>
      </w:hyperlink>
      <w:r>
        <w:t xml:space="preserve"> - Please view link - unable to able to access data</w:t>
      </w:r>
      <w:r/>
    </w:p>
    <w:p>
      <w:pPr>
        <w:pStyle w:val="ListNumber"/>
        <w:spacing w:line="240" w:lineRule="auto"/>
        <w:ind w:left="720"/>
      </w:pPr>
      <w:r/>
      <w:hyperlink r:id="rId10">
        <w:r>
          <w:rPr>
            <w:color w:val="0000EE"/>
            <w:u w:val="single"/>
          </w:rPr>
          <w:t>https://news.gallup.com/poll/656708/lgbtq-identification-rises.aspx</w:t>
        </w:r>
      </w:hyperlink>
      <w:r>
        <w:t xml:space="preserve"> - In 2024, Gallup reported that 9.3% of U.S. adults identified as LGBTQ+, marking a significant increase from previous years. This rise is largely attributed to younger generations, with over one in five Gen Z adults (born between 1997 and 2006) identifying as LGBTQ+. The data highlights a substantial generational shift in LGBTQ+ identification, with younger adults being more likely to identify as such compared to older generations.</w:t>
      </w:r>
      <w:r/>
    </w:p>
    <w:p>
      <w:pPr>
        <w:pStyle w:val="ListNumber"/>
        <w:spacing w:line="240" w:lineRule="auto"/>
        <w:ind w:left="720"/>
      </w:pPr>
      <w:r/>
      <w:hyperlink r:id="rId11">
        <w:r>
          <w:rPr>
            <w:color w:val="0000EE"/>
            <w:u w:val="single"/>
          </w:rPr>
          <w:t>https://www.thetrevorproject.org/survey-2024-by-state/</w:t>
        </w:r>
      </w:hyperlink>
      <w:r>
        <w:t xml:space="preserve"> - The Trevor Project's 2024 U.S. National Survey on the Mental Health of LGBTQ+ Young People surveyed over 18,000 individuals aged 13–24 across all 50 states, Puerto Rico, and Washington, D.C. The survey aimed to capture the experiences and mental health challenges faced by LGBTQ+ youth, providing critical insights into the public health crisis of suicide among this demographic and offering data-driven ways to address it.</w:t>
      </w:r>
      <w:r/>
    </w:p>
    <w:p>
      <w:pPr>
        <w:pStyle w:val="ListNumber"/>
        <w:spacing w:line="240" w:lineRule="auto"/>
        <w:ind w:left="720"/>
      </w:pPr>
      <w:r/>
      <w:hyperlink r:id="rId11">
        <w:r>
          <w:rPr>
            <w:color w:val="0000EE"/>
            <w:u w:val="single"/>
          </w:rPr>
          <w:t>https://www.thetrevorproject.org/survey-2024-by-state/</w:t>
        </w:r>
      </w:hyperlink>
      <w:r>
        <w:t xml:space="preserve"> - The Trevor Project's 2024 U.S. National Survey on the Mental Health of LGBTQ+ Young People surveyed over 18,000 individuals aged 13–24 across all 50 states, Puerto Rico, and Washington, D.C. The survey aimed to capture the experiences and mental health challenges faced by LGBTQ+ youth, providing critical insights into the public health crisis of suicide among this demographic and offering data-driven ways to address it.</w:t>
      </w:r>
      <w:r/>
    </w:p>
    <w:p>
      <w:pPr>
        <w:pStyle w:val="ListNumber"/>
        <w:spacing w:line="240" w:lineRule="auto"/>
        <w:ind w:left="720"/>
      </w:pPr>
      <w:r/>
      <w:hyperlink r:id="rId11">
        <w:r>
          <w:rPr>
            <w:color w:val="0000EE"/>
            <w:u w:val="single"/>
          </w:rPr>
          <w:t>https://www.thetrevorproject.org/survey-2024-by-state/</w:t>
        </w:r>
      </w:hyperlink>
      <w:r>
        <w:t xml:space="preserve"> - The Trevor Project's 2024 U.S. National Survey on the Mental Health of LGBTQ+ Young People surveyed over 18,000 individuals aged 13–24 across all 50 states, Puerto Rico, and Washington, D.C. The survey aimed to capture the experiences and mental health challenges faced by LGBTQ+ youth, providing critical insights into the public health crisis of suicide among this demographic and offering data-driven ways to address it.</w:t>
      </w:r>
      <w:r/>
    </w:p>
    <w:p>
      <w:pPr>
        <w:pStyle w:val="ListNumber"/>
        <w:spacing w:line="240" w:lineRule="auto"/>
        <w:ind w:left="720"/>
      </w:pPr>
      <w:r/>
      <w:hyperlink r:id="rId11">
        <w:r>
          <w:rPr>
            <w:color w:val="0000EE"/>
            <w:u w:val="single"/>
          </w:rPr>
          <w:t>https://www.thetrevorproject.org/survey-2024-by-state/</w:t>
        </w:r>
      </w:hyperlink>
      <w:r>
        <w:t xml:space="preserve"> - The Trevor Project's 2024 U.S. National Survey on the Mental Health of LGBTQ+ Young People surveyed over 18,000 individuals aged 13–24 across all 50 states, Puerto Rico, and Washington, D.C. The survey aimed to capture the experiences and mental health challenges faced by LGBTQ+ youth, providing critical insights into the public health crisis of suicide among this demographic and offering data-driven ways to address it.</w:t>
      </w:r>
      <w:r/>
    </w:p>
    <w:p>
      <w:pPr>
        <w:pStyle w:val="ListNumber"/>
        <w:spacing w:line="240" w:lineRule="auto"/>
        <w:ind w:left="720"/>
      </w:pPr>
      <w:r/>
      <w:hyperlink r:id="rId11">
        <w:r>
          <w:rPr>
            <w:color w:val="0000EE"/>
            <w:u w:val="single"/>
          </w:rPr>
          <w:t>https://www.thetrevorproject.org/survey-2024-by-state/</w:t>
        </w:r>
      </w:hyperlink>
      <w:r>
        <w:t xml:space="preserve"> - The Trevor Project's 2024 U.S. National Survey on the Mental Health of LGBTQ+ Young People surveyed over 18,000 individuals aged 13–24 across all 50 states, Puerto Rico, and Washington, D.C. The survey aimed to capture the experiences and mental health challenges faced by LGBTQ+ youth, providing critical insights into the public health crisis of suicide among this demographic and offering data-driven ways to address it.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hotspotsmagazine.com/2026/09/11/from-the-publisher-the-state-of-lgbtq-youth/?utm_source=rss&amp;utm_medium=rss&amp;utm_campaign=from-the-publisher-the-state-of-lgbtq-youth" TargetMode="External"/><Relationship Id="rId10" Type="http://schemas.openxmlformats.org/officeDocument/2006/relationships/hyperlink" Target="https://news.gallup.com/poll/656708/lgbtq-identification-rises.aspx" TargetMode="External"/><Relationship Id="rId11" Type="http://schemas.openxmlformats.org/officeDocument/2006/relationships/hyperlink" Target="https://www.thetrevorproject.org/survey-2024-by-sta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