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Indonesia LGBTQ crackdown puts trans women at risk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Rights groups and local reporting point to a worrying rise in violence against Indonesia’s LGBTQ community, particularly trans women in Bogor. As officials, religious conservatives and self-appointed patrols frame LGBTQ people as a public threat, activists warn that hostile rhetoric is spilling into the streets, universities and local policy.</w:t>
      </w:r>
      <w:r/>
    </w:p>
    <w:p>
      <w:pPr>
        <w:pStyle w:val="Heading2"/>
      </w:pPr>
      <w:r>
        <w:t>Essential takeaways</w:t>
      </w:r>
      <w:r/>
      <w:r/>
    </w:p>
    <w:p>
      <w:pPr>
        <w:pStyle w:val="ListBullet"/>
        <w:spacing w:line="240" w:lineRule="auto"/>
        <w:ind w:left="720"/>
      </w:pPr>
      <w:r/>
      <w:r>
        <w:rPr>
          <w:b/>
        </w:rPr>
        <w:t>Street attacks are escalating:</w:t>
      </w:r>
      <w:r>
        <w:t xml:space="preserve"> Trans women in Bogor have reportedly faced beatings, humiliation and forced disrobing.</w:t>
      </w:r>
      <w:r/>
    </w:p>
    <w:p>
      <w:pPr>
        <w:pStyle w:val="ListBullet"/>
        <w:spacing w:line="240" w:lineRule="auto"/>
        <w:ind w:left="720"/>
      </w:pPr>
      <w:r/>
      <w:r>
        <w:rPr>
          <w:b/>
        </w:rPr>
        <w:t>The language is changing:</w:t>
      </w:r>
      <w:r>
        <w:t xml:space="preserve"> LGBTQ people are increasingly described through national security and social-order arguments.</w:t>
      </w:r>
      <w:r/>
    </w:p>
    <w:p>
      <w:pPr>
        <w:pStyle w:val="ListBullet"/>
        <w:spacing w:line="240" w:lineRule="auto"/>
        <w:ind w:left="720"/>
      </w:pPr>
      <w:r/>
      <w:r>
        <w:rPr>
          <w:b/>
        </w:rPr>
        <w:t>Bogor is a flashpoint:</w:t>
      </w:r>
      <w:r>
        <w:t xml:space="preserve"> Local patrols and calls for tighter controls have intensified pressure on the community.</w:t>
      </w:r>
      <w:r/>
    </w:p>
    <w:p>
      <w:pPr>
        <w:pStyle w:val="ListBullet"/>
        <w:spacing w:line="240" w:lineRule="auto"/>
        <w:ind w:left="720"/>
      </w:pPr>
      <w:r/>
      <w:r>
        <w:rPr>
          <w:b/>
        </w:rPr>
        <w:t>Legal protection remains fragile:</w:t>
      </w:r>
      <w:r>
        <w:t xml:space="preserve"> Consensual same-sex relations aren't broadly illegal, but public morality rules can create serious risks.</w:t>
      </w:r>
      <w:r/>
    </w:p>
    <w:p>
      <w:pPr>
        <w:pStyle w:val="ListBullet"/>
        <w:spacing w:line="240" w:lineRule="auto"/>
        <w:ind w:left="720"/>
      </w:pPr>
      <w:r/>
      <w:r>
        <w:rPr>
          <w:b/>
        </w:rPr>
        <w:t>Activists warn against scapegoating:</w:t>
      </w:r>
      <w:r>
        <w:t xml:space="preserve"> Economic frustration and political unrest can make minorities convenient targets.</w:t>
      </w:r>
      <w:r/>
      <w:r/>
    </w:p>
    <w:p>
      <w:pPr>
        <w:pStyle w:val="Heading2"/>
      </w:pPr>
      <w:r>
        <w:t>Violence in Bogor has become a grim warning</w:t>
      </w:r>
      <w:r/>
    </w:p>
    <w:p>
      <w:r/>
      <w:r>
        <w:t>The reported attacks in Bogor are shocking in their cruelty. Trans women were allegedly kicked, beaten, sprayed with urine and stripped by members of a vigilante group calling for a city free of LGBTQ people. The Jakarta Post reported public outrage after trans women were targeted by mob violence, while ABC News later described the attacks as following official language that labelled the community a threat.</w:t>
      </w:r>
      <w:r/>
    </w:p>
    <w:p>
      <w:r/>
      <w:r>
        <w:t>This isn't simply a story about abusive individuals. Reports suggest the Bogor group has been linked to at least 10 incidents in recent months, creating a climate in which victims may fear both physical assault and the authorities' response. The detail that lingers is the sheer humiliation involved, a reminder that such violence is designed not only to injure but also to intimidate an entire community.</w:t>
      </w:r>
      <w:r/>
    </w:p>
    <w:p>
      <w:pPr>
        <w:pStyle w:val="Heading2"/>
      </w:pPr>
      <w:r>
        <w:t>From religious hostility to a security narrative</w:t>
      </w:r>
      <w:r/>
    </w:p>
    <w:p>
      <w:r/>
      <w:r>
        <w:t>Indonesia's LGBTQ community has faced hostility for years, but campaigners say the framing is becoming broader and more dangerous. Instead of relying only on religious or moral arguments, opponents increasingly invoke family resilience, public order and national security.</w:t>
      </w:r>
      <w:r/>
    </w:p>
    <w:p>
      <w:r/>
      <w:r>
        <w:t>That shift matters because security language can give prejudice an official-sounding gloss. A community is no longer merely portrayed as socially unacceptable, but as something that supposedly threatens the state. The Jakarta Post has previously warned against using LGBTQ people as political scapegoats, while Indonesia's official legal database records national regulations that help explain how government policy is being formalised.</w:t>
      </w:r>
      <w:r/>
    </w:p>
    <w:p>
      <w:r/>
      <w:r>
        <w:t>For ordinary Indonesians, the consequences can be immediate. Once a hostile idea appears in policy documents, universities or official speeches, it can embolden people who believe they have permission to police strangers' identities.</w:t>
      </w:r>
      <w:r/>
    </w:p>
    <w:p>
      <w:pPr>
        <w:pStyle w:val="Heading2"/>
      </w:pPr>
      <w:r>
        <w:t>Why Bogor's patrols have drawn scrutiny</w:t>
      </w:r>
      <w:r/>
    </w:p>
    <w:p>
      <w:r/>
      <w:r>
        <w:t>Local authorities have said they are increasing patrols and monitoring groups associated with LGBTQ activity. Metro Bogor reported claims from the city's public-order agency that officers were conducting sweeps, while also urging residents not to take the law into their own hands. That warning is important, but it sits uneasily beside the wider atmosphere of surveillance.</w:t>
      </w:r>
      <w:r/>
    </w:p>
    <w:p>
      <w:r/>
      <w:r>
        <w:t>A separate report from Detik described pressure on Bogor's mayor to issue a local regulation concerning LGBTQ people. Even when officials present such measures as efforts to maintain order, vague rules can leave vulnerable residents exposed to harassment, eviction, forced rehabilitation or arbitrary detention.</w:t>
      </w:r>
      <w:r/>
    </w:p>
    <w:p>
      <w:r/>
      <w:r>
        <w:t>The practical concern is straightforward: public safety patrols should protect people from violence, not make an already marginalised group feel hunted. The distinction may sound obvious, but it becomes blurred when community groups and officials use similar language about cleansing or control.</w:t>
      </w:r>
      <w:r/>
    </w:p>
    <w:p>
      <w:pPr>
        <w:pStyle w:val="Heading2"/>
      </w:pPr>
      <w:r>
        <w:t>Universities and law are part of the same picture</w:t>
      </w:r>
      <w:r/>
    </w:p>
    <w:p>
      <w:r/>
      <w:r>
        <w:t>The pressure isn't confined to streets and neighbourhoods. Human rights reporting has documented discriminatory rules at Indonesian public universities, suggesting that LGBTQ students may face institutional barriers as well as social hostility. Education should offer space to learn and belong, yet campus policy can quietly narrow that space.</w:t>
      </w:r>
      <w:r/>
    </w:p>
    <w:p>
      <w:r/>
      <w:r>
        <w:t>Legal ambiguity adds another layer of risk. Same-sex relationships aren't generally prohibited across Indonesia, but public morality provisions and regional rules can be interpreted unevenly. The result is a patchwork in which a person's safety may depend heavily on where they live and how local authorities choose to enforce broad standards.</w:t>
      </w:r>
      <w:r/>
    </w:p>
    <w:p>
      <w:r/>
      <w:r>
        <w:t>That uncertainty can be especially damaging for trans people, who may already face discrimination in housing, employment and access to healthcare. A law doesn't need to criminalise identity explicitly to make daily life feel precarious.</w:t>
      </w:r>
      <w:r/>
    </w:p>
    <w:p>
      <w:pPr>
        <w:pStyle w:val="Heading2"/>
      </w:pPr>
      <w:r>
        <w:t>Scapegoating thrives during political strain</w:t>
      </w:r>
      <w:r/>
    </w:p>
    <w:p>
      <w:r/>
      <w:r>
        <w:t>Researchers and activists argue that anti-LGBTQ rhetoric often intensifies during moments of political tension. When governments face anger over corruption, youth unemployment or shrinking democratic freedoms, minorities can become an easy distraction. They have less institutional power, fewer safe avenues for redress and are already surrounded by familiar prejudices.</w:t>
      </w:r>
      <w:r/>
    </w:p>
    <w:p>
      <w:r/>
      <w:r>
        <w:t>The pattern also reflects a wider international shift to the right. Debates imported from the United States and Europe, including arguments about gender-separated facilities, can appear in Indonesia even when they don't reflect local LGBTQ activists' priorities. Online politics makes that transfer faster, louder and harder to challenge.</w:t>
      </w:r>
      <w:r/>
    </w:p>
    <w:p>
      <w:r/>
      <w:r>
        <w:t>Human rights groups' message is therefore both urgent and practical: condemn violence clearly, investigate attacks independently and resist rules that turn identity into a security problem. Without those safeguards, today's vigilante abuse can become tomorrow's accepted routine.</w:t>
      </w:r>
      <w:r/>
    </w:p>
    <w:p>
      <w:r/>
      <w:r>
        <w:t>The safest future starts with protecting people, not turning them into symbols of national anxiety.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2">
        <w:r>
          <w:rPr>
            <w:color w:val="0000EE"/>
            <w:u w:val="single"/>
          </w:rPr>
          <w:t>[2]</w:t>
        </w:r>
      </w:hyperlink>
      <w:r>
        <w:t xml:space="preserve">, </w:t>
      </w:r>
      <w:hyperlink r:id="rId13">
        <w:r>
          <w:rPr>
            <w:color w:val="0000EE"/>
            <w:u w:val="single"/>
          </w:rPr>
          <w:t>[5]</w:t>
        </w:r>
      </w:hyperlink>
      <w:r>
        <w:t xml:space="preserve">- Paragraph 4: </w:t>
      </w:r>
      <w:hyperlink r:id="rId12">
        <w:r>
          <w:rPr>
            <w:color w:val="0000EE"/>
            <w:u w:val="single"/>
          </w:rPr>
          <w:t>[2]</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2">
        <w:r>
          <w:rPr>
            <w:color w:val="0000EE"/>
            <w:u w:val="single"/>
          </w:rPr>
          <w:t>[2]</w:t>
        </w:r>
      </w:hyperlink>
      <w:r>
        <w:t xml:space="preserve">, </w:t>
      </w:r>
      <w:hyperlink r:id="rId13">
        <w:r>
          <w:rPr>
            <w:color w:val="0000EE"/>
            <w:u w:val="single"/>
          </w:rPr>
          <w:t>[5]</w:t>
        </w:r>
      </w:hyperlink>
      <w:r>
        <w:t xml:space="preserve">- Paragraph 8: </w:t>
      </w:r>
      <w:hyperlink r:id="rId12">
        <w:r>
          <w:rPr>
            <w:color w:val="0000EE"/>
            <w:u w:val="single"/>
          </w:rPr>
          <w:t>[2]</w:t>
        </w:r>
      </w:hyperlink>
      <w:r>
        <w:t xml:space="preserve">, </w:t>
      </w:r>
      <w:hyperlink r:id="rId13">
        <w:r>
          <w:rPr>
            <w:color w:val="0000EE"/>
            <w:u w:val="single"/>
          </w:rPr>
          <w:t>[5]</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2">
        <w:r>
          <w:rPr>
            <w:color w:val="0000EE"/>
            <w:u w:val="single"/>
          </w:rPr>
          <w:t>[2]</w:t>
        </w:r>
      </w:hyperlink>
      <w:r>
        <w:t xml:space="preserve">, </w:t>
      </w:r>
      <w:hyperlink r:id="rId10">
        <w:r>
          <w:rPr>
            <w:color w:val="0000EE"/>
            <w:u w:val="single"/>
          </w:rPr>
          <w:t>[3]</w:t>
        </w:r>
      </w:hyperlink>
      <w:r>
        <w:t xml:space="preserve">- Paragraph 12: </w:t>
      </w:r>
      <w:hyperlink r:id="rId10">
        <w:r>
          <w:rPr>
            <w:color w:val="0000EE"/>
            <w:u w:val="single"/>
          </w:rPr>
          <w:t>[3]</w:t>
        </w:r>
      </w:hyperlink>
      <w:r>
        <w:t xml:space="preserve">, </w:t>
      </w:r>
      <w:hyperlink r:id="rId13">
        <w:r>
          <w:rPr>
            <w:color w:val="0000EE"/>
            <w:u w:val="single"/>
          </w:rPr>
          <w:t>[5]</w:t>
        </w:r>
      </w:hyperlink>
      <w:r>
        <w:t xml:space="preserve">- Paragraph 13: </w:t>
      </w:r>
      <w:hyperlink r:id="rId12">
        <w:r>
          <w:rPr>
            <w:color w:val="0000EE"/>
            <w:u w:val="single"/>
          </w:rPr>
          <w:t>[2]</w:t>
        </w:r>
      </w:hyperlink>
      <w:r>
        <w:t xml:space="preserve">, </w:t>
      </w:r>
      <w:hyperlink r:id="rId10">
        <w:r>
          <w:rPr>
            <w:color w:val="0000EE"/>
            <w:u w:val="single"/>
          </w:rPr>
          <w:t>[3]</w:t>
        </w:r>
      </w:hyperlink>
      <w:r>
        <w:t xml:space="preserve">- Paragraph 14: </w:t>
      </w:r>
      <w:hyperlink r:id="rId12">
        <w:r>
          <w:rPr>
            <w:color w:val="0000EE"/>
            <w:u w:val="single"/>
          </w:rPr>
          <w:t>[2]</w:t>
        </w:r>
      </w:hyperlink>
      <w:r>
        <w:t xml:space="preserve">, </w:t>
      </w:r>
      <w:hyperlink r:id="rId10">
        <w:r>
          <w:rPr>
            <w:color w:val="0000EE"/>
            <w:u w:val="single"/>
          </w:rPr>
          <w:t>[3]</w:t>
        </w:r>
      </w:hyperlink>
      <w:r>
        <w:t xml:space="preserve">- Paragraph 15: </w:t>
      </w:r>
      <w:hyperlink r:id="rId12">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https://www.parool.nl/wereld/nieuwe-aanvalsgolf-op-indonesische-lhbtq-s-door-regering-burgers-en-religieuze-groepen-die-gemeenschap-fungeert-als-zondebok~bbb6834d/</w:t>
        </w:r>
      </w:hyperlink>
      <w:r>
        <w:t xml:space="preserve"> - Please view link - unable to able to access data</w:t>
      </w:r>
      <w:r/>
    </w:p>
    <w:p>
      <w:pPr>
        <w:pStyle w:val="ListNumber"/>
        <w:spacing w:line="240" w:lineRule="auto"/>
        <w:ind w:left="720"/>
      </w:pPr>
      <w:r/>
      <w:hyperlink r:id="rId12">
        <w:r>
          <w:rPr>
            <w:color w:val="0000EE"/>
            <w:u w:val="single"/>
          </w:rPr>
          <w:t>https://www.thejakartapost.com/opinion/2024/12/14/stop-with-the-lgbtq-scapegoating</w:t>
        </w:r>
      </w:hyperlink>
      <w:r>
        <w:t xml:space="preserve"> - An opinion piece in The Jakarta Post highlights the increasing rejection and scapegoating of the LGBTQ community in Indonesia. The author discusses how public officials and student organisations are normalising and encouraging hate towards the LGBTQ community. The article references a 2023 study by UCLA’s Williams Institute, which found a correlation between anti-LGBTQ attitudes and democratic decline, with Indonesia cited as an example. The piece calls for civil society to be alarmed by this trend and advocates for the protection of LGBTQ rights.</w:t>
      </w:r>
      <w:r/>
    </w:p>
    <w:p>
      <w:pPr>
        <w:pStyle w:val="ListNumber"/>
        <w:spacing w:line="240" w:lineRule="auto"/>
        <w:ind w:left="720"/>
      </w:pPr>
      <w:r/>
      <w:hyperlink r:id="rId10">
        <w:r>
          <w:rPr>
            <w:color w:val="0000EE"/>
            <w:u w:val="single"/>
          </w:rPr>
          <w:t>https://www.abc.net.au/news/2026-08-15/men-attack-transwomen-in-indonesia-after-rule-deems-them-threat/107023468</w:t>
        </w:r>
      </w:hyperlink>
      <w:r>
        <w:t xml:space="preserve"> - ABC News reports on a series of attacks against transgender women in Indonesia, particularly in Bogor, West Java. The article details incidents where groups of men have assaulted trans women, including dousing them with urine and physical violence. These attacks are linked to a presidential regulation classifying LGBTQ culture as a national threat, which has been used to justify harassment and violence against the community. The piece highlights the fear and trauma experienced by trans women and the challenges in reporting these crimes.</w:t>
      </w:r>
      <w:r/>
    </w:p>
    <w:p>
      <w:pPr>
        <w:pStyle w:val="ListNumber"/>
        <w:spacing w:line="240" w:lineRule="auto"/>
        <w:ind w:left="720"/>
      </w:pPr>
      <w:r/>
      <w:hyperlink r:id="rId11">
        <w:r>
          <w:rPr>
            <w:color w:val="0000EE"/>
            <w:u w:val="single"/>
          </w:rPr>
          <w:t>https://www.thejakartapost.com/indonesia/2026/07/21/outrage-as-trans-women-targeted-in-mob-violence</w:t>
        </w:r>
      </w:hyperlink>
      <w:r>
        <w:t xml:space="preserve"> - The Jakarta Post covers the outrage sparked by a series of mob attacks targeting transgender women in Bogor, West Java. Civil society groups blame a presidential regulation that classifies LGBTQ culture as a national threat for justifying these acts of violence. The article describes incidents where groups of men have assaulted trans women, filmed the attacks, and posted them on social media. The piece calls for the central government to revoke discriminatory policies that enable such violence against the LGBTQ community.</w:t>
      </w:r>
      <w:r/>
    </w:p>
    <w:p>
      <w:pPr>
        <w:pStyle w:val="ListNumber"/>
        <w:spacing w:line="240" w:lineRule="auto"/>
        <w:ind w:left="720"/>
      </w:pPr>
      <w:r/>
      <w:hyperlink r:id="rId13">
        <w:r>
          <w:rPr>
            <w:color w:val="0000EE"/>
            <w:u w:val="single"/>
          </w:rPr>
          <w:t>https://www.peraturan.go.id/id/perpres-no-9-tahun-2024</w:t>
        </w:r>
      </w:hyperlink>
      <w:r>
        <w:t xml:space="preserve"> - This official government document outlines Presidential Regulation No. 9 of 2024 concerning the Organisation of Education and Training for the Prevention and Handling of Sexual Violence Crimes. The regulation aims to provide a framework for educational and training programmes to prevent and address sexual violence, including within the LGBTQ community. It reflects the government's approach to tackling sexual violence through structured education and training initiatives.</w:t>
      </w:r>
      <w:r/>
    </w:p>
    <w:p>
      <w:pPr>
        <w:pStyle w:val="ListNumber"/>
        <w:spacing w:line="240" w:lineRule="auto"/>
        <w:ind w:left="720"/>
      </w:pPr>
      <w:r/>
      <w:hyperlink r:id="rId14">
        <w:r>
          <w:rPr>
            <w:color w:val="0000EE"/>
            <w:u w:val="single"/>
          </w:rPr>
          <w:t>https://www.metrobogor.id/bogor-24-jam/107117506741/satpol-pp-kota-bogor-klaim-gencarkan-patroli-sisir-kelompok-lgbtq-warga-diminta-tak-main-hakim-sendiri</w:t>
        </w:r>
      </w:hyperlink>
      <w:r>
        <w:t xml:space="preserve"> - Metro Bogor reports on the Kota Bogor Civil Service Police Unit (Satpol PP) intensifying patrols in areas frequented by LGBTQ groups to prevent vigilante actions by residents. The patrols aim to address concerns over public disturbances and to ensure the safety of the LGBTQ community. The article highlights the importance of law enforcement in maintaining public order and protecting minority groups from potential harm.</w:t>
      </w:r>
      <w:r/>
    </w:p>
    <w:p>
      <w:pPr>
        <w:pStyle w:val="ListNumber"/>
        <w:spacing w:line="240" w:lineRule="auto"/>
        <w:ind w:left="720"/>
      </w:pPr>
      <w:r/>
      <w:hyperlink r:id="rId15">
        <w:r>
          <w:rPr>
            <w:color w:val="0000EE"/>
            <w:u w:val="single"/>
          </w:rPr>
          <w:t>https://www.detik.com/jabar/berita/d-8564323/dprd-desak-wali-kota-bogor-terbitkan-perwali-p4s-soal-lgbtq</w:t>
        </w:r>
      </w:hyperlink>
      <w:r>
        <w:t xml:space="preserve"> - Detik Jabar reports on the Bogor City Regional People's Representative Council (DPRD) urging the Mayor of Bogor to issue a Mayor's Regulation (Perwali) as a technical guideline for implementing Regional Regulation No. 10 of 2021 on the Prevention and Handling of Sexual Deviant Behaviour (P4S). This call follows the issuance of Presidential Regulation No. 111 of 2025, which lists the spread of LGBTQ culture as a non-military threat to national security. The article discusses the implications of this regulation on the LGBTQ community and the need for local governance to address these issues.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ool.nl/wereld/nieuwe-aanvalsgolf-op-indonesische-lhbtq-s-door-regering-burgers-en-religieuze-groepen-die-gemeenschap-fungeert-als-zondebok~bbb6834d/" TargetMode="External"/><Relationship Id="rId10" Type="http://schemas.openxmlformats.org/officeDocument/2006/relationships/hyperlink" Target="https://www.abc.net.au/news/2026-08-15/men-attack-transwomen-in-indonesia-after-rule-deems-them-threat/107023468" TargetMode="External"/><Relationship Id="rId11" Type="http://schemas.openxmlformats.org/officeDocument/2006/relationships/hyperlink" Target="https://www.thejakartapost.com/indonesia/2026/07/21/outrage-as-trans-women-targeted-in-mob-violence" TargetMode="External"/><Relationship Id="rId12" Type="http://schemas.openxmlformats.org/officeDocument/2006/relationships/hyperlink" Target="https://www.thejakartapost.com/opinion/2024/12/14/stop-with-the-lgbtq-scapegoating" TargetMode="External"/><Relationship Id="rId13" Type="http://schemas.openxmlformats.org/officeDocument/2006/relationships/hyperlink" Target="https://www.peraturan.go.id/id/perpres-no-9-tahun-2024" TargetMode="External"/><Relationship Id="rId14" Type="http://schemas.openxmlformats.org/officeDocument/2006/relationships/hyperlink" Target="https://www.metrobogor.id/bogor-24-jam/107117506741/satpol-pp-kota-bogor-klaim-gencarkan-patroli-sisir-kelompok-lgbtq-warga-diminta-tak-main-hakim-sendiri" TargetMode="External"/><Relationship Id="rId15" Type="http://schemas.openxmlformats.org/officeDocument/2006/relationships/hyperlink" Target="https://www.detik.com/jabar/berita/d-8564323/dprd-desak-wali-kota-bogor-terbitkan-perwali-p4s-soal-lgbt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