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Hungary LGBTIQ+ Rights Ruling Explained Online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Campaigners and legal experts are watching Hungary after a landmark European court ruling challenged restrictions on LGBTIQ+ content, while a new Amnesty investigation highlights how anti-LGBTIQ+ abuse spread on Facebook. Together, the developments show why freedom of expression matters both in courtrooms and in the everyday, often exhausting, reality of online life.</w:t>
      </w:r>
      <w:r/>
    </w:p>
    <w:p>
      <w:pPr>
        <w:pStyle w:val="Heading2"/>
      </w:pPr>
      <w:r>
        <w:t>Essential Takeaways</w:t>
      </w:r>
      <w:r/>
      <w:r/>
    </w:p>
    <w:p>
      <w:pPr>
        <w:pStyle w:val="ListBullet"/>
        <w:spacing w:line="240" w:lineRule="auto"/>
        <w:ind w:left="720"/>
      </w:pPr>
      <w:r/>
      <w:r>
        <w:rPr>
          <w:b/>
        </w:rPr>
        <w:t>Court challenge:</w:t>
      </w:r>
      <w:r>
        <w:t xml:space="preserve"> EU judges found Hungary's restrictions on LGBTIQ+ content discriminatory and incompatible with freedom of expression.</w:t>
      </w:r>
      <w:r/>
    </w:p>
    <w:p>
      <w:pPr>
        <w:pStyle w:val="ListBullet"/>
        <w:spacing w:line="240" w:lineRule="auto"/>
        <w:ind w:left="720"/>
      </w:pPr>
      <w:r/>
      <w:r>
        <w:rPr>
          <w:b/>
        </w:rPr>
        <w:t>Online harm:</w:t>
      </w:r>
      <w:r>
        <w:t xml:space="preserve"> Amnesty said Meta failed to prevent anti-LGBTIQ+ abuse on Facebook in Hungary.</w:t>
      </w:r>
      <w:r/>
    </w:p>
    <w:p>
      <w:pPr>
        <w:pStyle w:val="ListBullet"/>
        <w:spacing w:line="240" w:lineRule="auto"/>
        <w:ind w:left="720"/>
      </w:pPr>
      <w:r/>
      <w:r>
        <w:rPr>
          <w:b/>
        </w:rPr>
        <w:t>Real-world impact:</w:t>
      </w:r>
      <w:r>
        <w:t xml:space="preserve"> Interviewees described fear, self-censorship and difficulty getting help after repeated online harassment.</w:t>
      </w:r>
      <w:r/>
    </w:p>
    <w:p>
      <w:pPr>
        <w:pStyle w:val="ListBullet"/>
        <w:spacing w:line="240" w:lineRule="auto"/>
        <w:ind w:left="720"/>
      </w:pPr>
      <w:r/>
      <w:r>
        <w:rPr>
          <w:b/>
        </w:rPr>
        <w:t>Speech has limits:</w:t>
      </w:r>
      <w:r>
        <w:t xml:space="preserve"> Hungary's Constitutional Court upheld a conviction over an announcement promoting the burning of LGBTIQ+ flags.</w:t>
      </w:r>
      <w:r/>
    </w:p>
    <w:p>
      <w:pPr>
        <w:pStyle w:val="ListBullet"/>
        <w:spacing w:line="240" w:lineRule="auto"/>
        <w:ind w:left="720"/>
      </w:pPr>
      <w:r/>
      <w:r>
        <w:rPr>
          <w:b/>
        </w:rPr>
        <w:t>Change remains unfinished:</w:t>
      </w:r>
      <w:r>
        <w:t xml:space="preserve"> A court victory doesn't automatically remove restrictive laws or erase social stigma.</w:t>
      </w:r>
      <w:r/>
      <w:r/>
    </w:p>
    <w:p>
      <w:pPr>
        <w:pStyle w:val="Heading2"/>
      </w:pPr>
      <w:r>
        <w:t>Hungary's online hate problem became impossible to ignore</w:t>
      </w:r>
      <w:r/>
    </w:p>
    <w:p>
      <w:r/>
      <w:r>
        <w:t>The sharpest warning comes from the way online abuse can follow people into ordinary life. Amnesty's investigation into Facebook in Hungary found violent and demeaning anti-LGBTIQ+ content, with interviewees describing a chilling effect on work, relationships and personal safety. For many users, the problem wasn't simply seeing one offensive post. It was the steady, grinding sense that hostile material was being amplified while meaningful protection remained out of reach.</w:t>
      </w:r>
      <w:r/>
    </w:p>
    <w:p>
      <w:r/>
      <w:r>
        <w:t>According to Amnesty, Meta's policy changes from January 2025 reduced safeguards at a moment when Hungary's political climate was already hostile to LGBTIQ+ people. The organisation said the company failed to carry out adequate due diligence, assess risks properly and respond effectively to harmful material. That combination is particularly troubling because social platforms aren't passive noticeboards. Their recommendation systems can determine which posts become unavoidable. (Sources: Amnesty International USA; Amnesty UK.)</w:t>
      </w:r>
      <w:r/>
    </w:p>
    <w:p>
      <w:pPr>
        <w:pStyle w:val="Heading2"/>
      </w:pPr>
      <w:r>
        <w:t>A European court drew a clear line</w:t>
      </w:r>
      <w:r/>
    </w:p>
    <w:p>
      <w:r/>
      <w:r>
        <w:t>The Court of Justice of the European Union found that Hungary's so-called child-protection amendments unlawfully restricted access to material portraying homosexuality, gender diversity and gender transition. The ruling said the measures treated non-heterosexual and non-cisgender people as inherently harmful to children, an assumption the court regarded as discriminatory and stigmatising.</w:t>
      </w:r>
      <w:r/>
    </w:p>
    <w:p>
      <w:r/>
      <w:r>
        <w:t>That matters beyond Hungary. The judgment also recognised the effect on broadcasters, advertisers, educators and other information providers, whose ability to communicate was curtailed. In practical terms, the case was about more than what children could watch. It was also about whether a government could narrow public discussion by presenting an entire group as a danger. (Sources: Court of Justice of the European Union; IGLYO.)</w:t>
      </w:r>
      <w:r/>
    </w:p>
    <w:p>
      <w:pPr>
        <w:pStyle w:val="Heading2"/>
      </w:pPr>
      <w:r>
        <w:t>Why this ruling matters for freedom of expression</w:t>
      </w:r>
      <w:r/>
    </w:p>
    <w:p>
      <w:r/>
      <w:r>
        <w:t>Freedom of expression isn't only the right to make a political argument. It includes the ability to receive information, take part in public debate and encounter the lives of people who don't fit a government's preferred social model. The Hungarian law, campaigners argued, made ordinary representation feel suspect, from classroom material to media coverage.</w:t>
      </w:r>
      <w:r/>
    </w:p>
    <w:p>
      <w:r/>
      <w:r>
        <w:t>The ruling also pushes back against a familiar tactic: wrapping discrimination in the language of child welfare. Protecting children is a legitimate public aim, but the court rejected the idea that excluding LGBTIQ+ identities from view was a proportionate way to achieve it. QLit described the decision as a historic ruling, while IGLYO said it confirmed that equality and access to information cannot be traded away through broad, stigmatising restrictions. (Sources: QLit; IGLYO.)</w:t>
      </w:r>
      <w:r/>
    </w:p>
    <w:p>
      <w:pPr>
        <w:pStyle w:val="Heading2"/>
      </w:pPr>
      <w:r>
        <w:t>Courts can defend speech, but platforms still shape the conversation</w:t>
      </w:r>
      <w:r/>
    </w:p>
    <w:p>
      <w:r/>
      <w:r>
        <w:t>There is an awkward gap between legal principle and online reality. A court can declare a restriction unlawful, yet people may still face torrents of abuse each time they open Facebook. Amnesty's findings suggest that platform governance, moderation resources and algorithmic visibility can decide whether a legal right feels usable in daily life.</w:t>
      </w:r>
      <w:r/>
    </w:p>
    <w:p>
      <w:r/>
      <w:r>
        <w:t>This is why the debate isn't simply about removing every unpleasant opinion. The harder questions involve threats, calls for violence, coordinated harassment and systems that repeatedly push damaging material towards more users. People who encounter that environment may stop posting, hide their relationships or avoid discussing their identity altogether. That's self-censorship by attrition, and it can quietly shrink public debate even when no formal ban is in place. (Sources: Amnesty UK; Amnesty International USA.)</w:t>
      </w:r>
      <w:r/>
    </w:p>
    <w:p>
      <w:pPr>
        <w:pStyle w:val="Heading2"/>
      </w:pPr>
      <w:r>
        <w:t>Where Hungary's other speech cases fit in</w:t>
      </w:r>
      <w:r/>
    </w:p>
    <w:p>
      <w:r/>
      <w:r>
        <w:t>Hungary's Constitutional Court also upheld the conviction of a man who promoted an event involving the burning of LGBTIQ+ flags. The court held that speech capable of stirring up hatred can harm the dignity of the targeted group, even without proof that violence or disorder followed.</w:t>
      </w:r>
      <w:r/>
    </w:p>
    <w:p>
      <w:r/>
      <w:r>
        <w:t>That decision doesn't mean criticism of government policy or provocative political views are automatically unlawful. It shows the legal distinction between expressing an opinion and encouraging hatred against a protected community. Put alongside the EU judgment, it underlines a broader principle: freedom of expression protects pluralism, but it doesn't require society to treat intimidation as harmless debate.</w:t>
      </w:r>
      <w:r/>
    </w:p>
    <w:p>
      <w:r/>
      <w:r>
        <w:t>The outlook is still uncertain. Even after Viktor Orban's political departure, the newsletter noted that restrictive laws remained in place and many people were still afraid to be open about their identity or family life. Court victories are important, but the quieter work comes afterwards: repealing discriminatory rules, improving platform accountability and rebuilding the confidence to speak without expecting a pile-on. (Sources: Amnesty UK; QLit.)</w:t>
      </w:r>
      <w:r/>
    </w:p>
    <w:p>
      <w:r/>
      <w:r>
        <w:t>The legal wins matter, but lasting freedom also depends on making everyday speech feel safe again.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1">
        <w:r>
          <w:rPr>
            <w:color w:val="0000EE"/>
            <w:u w:val="single"/>
          </w:rPr>
          <w:t>[5]</w:t>
        </w:r>
      </w:hyperlink>
      <w:r>
        <w:t xml:space="preserve">- Paragraph 3: </w:t>
      </w:r>
      <w:hyperlink r:id="rId12">
        <w:r>
          <w:rPr>
            <w:color w:val="0000EE"/>
            <w:u w:val="single"/>
          </w:rPr>
          <w:t>[4]</w:t>
        </w:r>
      </w:hyperlink>
      <w:r>
        <w:t xml:space="preserve">, </w:t>
      </w:r>
      <w:hyperlink r:id="rId13">
        <w:r>
          <w:rPr>
            <w:color w:val="0000EE"/>
            <w:u w:val="single"/>
          </w:rPr>
          <w:t>[6]</w:t>
        </w:r>
      </w:hyperlink>
      <w:r>
        <w:t xml:space="preserve">- Paragraph 4: </w:t>
      </w:r>
      <w:hyperlink r:id="rId14">
        <w:r>
          <w:rPr>
            <w:color w:val="0000EE"/>
            <w:u w:val="single"/>
          </w:rPr>
          <w:t>[3]</w:t>
        </w:r>
      </w:hyperlink>
      <w:r>
        <w:t xml:space="preserve">, </w:t>
      </w:r>
      <w:hyperlink r:id="rId13">
        <w:r>
          <w:rPr>
            <w:color w:val="0000EE"/>
            <w:u w:val="single"/>
          </w:rPr>
          <w:t>[6]</w:t>
        </w:r>
      </w:hyperlink>
      <w:r>
        <w:t xml:space="preserve">- Paragraph 5: </w:t>
      </w:r>
      <w:hyperlink r:id="rId11">
        <w:r>
          <w:rPr>
            <w:color w:val="0000EE"/>
            <w:u w:val="single"/>
          </w:rPr>
          <w:t>[5]</w:t>
        </w:r>
      </w:hyperlink>
      <w:r>
        <w:t xml:space="preserve">, </w:t>
      </w:r>
      <w:hyperlink r:id="rId10">
        <w:r>
          <w:rPr>
            <w:color w:val="0000EE"/>
            <w:u w:val="single"/>
          </w:rPr>
          <w:t>[2]</w:t>
        </w:r>
      </w:hyperlink>
      <w:r>
        <w:t xml:space="preserve">- Paragraph 6: </w:t>
      </w:r>
      <w:hyperlink r:id="rId11">
        <w:r>
          <w:rPr>
            <w:color w:val="0000EE"/>
            <w:u w:val="single"/>
          </w:rPr>
          <w:t>[5]</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https://inforrm.org/2026/09/10/global-freedom-of-expression-columbia-university-newsletter-10-september-2026/</w:t>
        </w:r>
      </w:hyperlink>
      <w:r>
        <w:t xml:space="preserve"> - Please view link - unable to able to access data</w:t>
      </w:r>
      <w:r/>
    </w:p>
    <w:p>
      <w:pPr>
        <w:pStyle w:val="ListNumber"/>
        <w:spacing w:line="240" w:lineRule="auto"/>
        <w:ind w:left="720"/>
      </w:pPr>
      <w:r/>
      <w:hyperlink r:id="rId10">
        <w:r>
          <w:rPr>
            <w:color w:val="0000EE"/>
            <w:u w:val="single"/>
          </w:rPr>
          <w:t>https://www.amnestyusa.org/press-releases/hungary-meta-failed-to-stop-anti-lgbti-content-on-facebook/</w:t>
        </w:r>
      </w:hyperlink>
      <w:r>
        <w:t xml:space="preserve"> - Amnesty International's report reveals that Meta failed to effectively moderate harmful anti-LGBTI content on Facebook in Hungary. The report highlights how Meta's policy changes in January 2025, including reduced safeguards for high-risk groups and decreased proactive content moderation, have negatively impacted the LGBTI community. Despite being aware of the hostile political climate and pervasive anti-LGBTI government rhetoric, Meta did not adequately assess the risks posed by its global policies to Hungary's LGBTI community. The report documents instances where content promoting violence against the LGBTI community remained accessible even after being reported, indicating ongoing shortcomings in Meta's enforcement systems.</w:t>
      </w:r>
      <w:r/>
    </w:p>
    <w:p>
      <w:pPr>
        <w:pStyle w:val="ListNumber"/>
        <w:spacing w:line="240" w:lineRule="auto"/>
        <w:ind w:left="720"/>
      </w:pPr>
      <w:r/>
      <w:hyperlink r:id="rId14">
        <w:r>
          <w:rPr>
            <w:color w:val="0000EE"/>
            <w:u w:val="single"/>
          </w:rPr>
          <w:t>https://qlit.hu/en/historic-ruling-the-propaganda-act-is-unlawful/</w:t>
        </w:r>
      </w:hyperlink>
      <w:r>
        <w:t xml:space="preserve"> - The Court of Justice of the European Union ruled that Hungary's 2021 'anti-LGBTI propaganda' law violates EU law. The law, which restricts access to content portraying or promoting gender identities differing from sex assigned at birth, was found to infringe upon fundamental rights and EU values. The ruling mandates the cessation of censorship in public spaces and the covering of books in bookstores, and deems the 'Pride ban' adopted in 2025 as unlawful. This decision underscores the EU's commitment to upholding fundamental rights and values within member states.</w:t>
      </w:r>
      <w:r/>
    </w:p>
    <w:p>
      <w:pPr>
        <w:pStyle w:val="ListNumber"/>
        <w:spacing w:line="240" w:lineRule="auto"/>
        <w:ind w:left="720"/>
      </w:pPr>
      <w:r/>
      <w:hyperlink r:id="rId12">
        <w:r>
          <w:rPr>
            <w:color w:val="0000EE"/>
            <w:u w:val="single"/>
          </w:rPr>
          <w:t>https://curia.europa.eu/juris/document/document.jsf?text=&amp;docid=274019&amp;pageIndex=0&amp;doclang=EN&amp;mode=req&amp;dir=&amp;occ=first&amp;part=1&amp;cid=105013</w:t>
        </w:r>
      </w:hyperlink>
      <w:r>
        <w:t xml:space="preserve"> - The Court of Justice of the European Union examined Hungary's 2021 law that introduced stricter measures against individuals convicted of paedophilia and amended several national laws, aiming to protect minors. The law prohibited or restricted access to content portraying or promoting gender identities differing from sex assigned at birth, sex reassignment, or homosexuality. The European Commission challenged the law, arguing it was discriminatory and violated EU law, including internal market rules and fundamental rights. The Court found that the law violated the right to freedom of expression and information under the EU Charter, systematically marginalising LGBTI+ individuals.</w:t>
      </w:r>
      <w:r/>
    </w:p>
    <w:p>
      <w:pPr>
        <w:pStyle w:val="ListNumber"/>
        <w:spacing w:line="240" w:lineRule="auto"/>
        <w:ind w:left="720"/>
      </w:pPr>
      <w:r/>
      <w:hyperlink r:id="rId11">
        <w:r>
          <w:rPr>
            <w:color w:val="0000EE"/>
            <w:u w:val="single"/>
          </w:rPr>
          <w:t>https://www.amnesty.org.uk/latest/hungary-calls-for-violence-against-the-lgbti-community-go-unchecked-by-meta/</w:t>
        </w:r>
      </w:hyperlink>
      <w:r>
        <w:t xml:space="preserve"> - Amnesty International's briefing reveals that Meta failed to address harmful rhetoric on Facebook against the LGBTI community in Hungary. Despite being aware of the hostile political climate and pervasive anti-LGBTI government rhetoric, Meta did not adequately assess the risks posed by its global policies to Hungary's LGBTI community. The report documents instances where content promoting violence against the LGBTI community remained accessible even after being reported, indicating ongoing shortcomings in Meta's enforcement systems. The findings suggest that Meta's design may have increased users' exposure to harmful and divisive content, raising concerns about the platform's impact on the LGBTI community in Hungary.</w:t>
      </w:r>
      <w:r/>
    </w:p>
    <w:p>
      <w:pPr>
        <w:pStyle w:val="ListNumber"/>
        <w:spacing w:line="240" w:lineRule="auto"/>
        <w:ind w:left="720"/>
      </w:pPr>
      <w:r/>
      <w:hyperlink r:id="rId13">
        <w:r>
          <w:rPr>
            <w:color w:val="0000EE"/>
            <w:u w:val="single"/>
          </w:rPr>
          <w:t>https://www.iglyo.org/resources/cjeu-ruling-hungary-2026</w:t>
        </w:r>
      </w:hyperlink>
      <w:r>
        <w:t xml:space="preserve"> - The International LGBTQI Youth and Student Organisation (IGLYO) welcomed the Court of Justice of the European Union's ruling against Hungary's 2021 'anti-LGBTI propaganda' law. The law, adopted under the guise of 'child protection', restricts the portrayal and discussion of LGBTQI topics in schools, media, and advertising, effectively banning or limiting young people's access to information about sexual orientation and gender identity. The CJEU found that the law breaches EU Treaties, multiple EU directives, the EU Charter of Fundamental Rights, and the fundamental values of the European Union, marking a significant step towards upholding fundamental rights within the EU.</w:t>
      </w:r>
      <w:r/>
    </w:p>
    <w:p>
      <w:pPr>
        <w:pStyle w:val="ListNumber"/>
        <w:spacing w:line="240" w:lineRule="auto"/>
        <w:ind w:left="720"/>
      </w:pPr>
      <w:r/>
      <w:hyperlink r:id="rId11">
        <w:r>
          <w:rPr>
            <w:color w:val="0000EE"/>
            <w:u w:val="single"/>
          </w:rPr>
          <w:t>https://www.amnesty.org.uk/latest/hungary-calls-for-violence-against-the-lgbti-community-go-unchecked-by-meta/</w:t>
        </w:r>
      </w:hyperlink>
      <w:r>
        <w:t xml:space="preserve"> - Amnesty International's briefing reveals that Meta failed to address harmful rhetoric on Facebook against the LGBTI community in Hungary. Despite being aware of the hostile political climate and pervasive anti-LGBTI government rhetoric, Meta did not adequately assess the risks posed by its global policies to Hungary's LGBTI community. The report documents instances where content promoting violence against the LGBTI community remained accessible even after being reported, indicating ongoing shortcomings in Meta's enforcement systems. The findings suggest that Meta's design may have increased users' exposure to harmful and divisive content, raising concerns about the platform's impact on the LGBTI community in Hungary.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forrm.org/2026/09/10/global-freedom-of-expression-columbia-university-newsletter-10-september-2026/" TargetMode="External"/><Relationship Id="rId10" Type="http://schemas.openxmlformats.org/officeDocument/2006/relationships/hyperlink" Target="https://www.amnestyusa.org/press-releases/hungary-meta-failed-to-stop-anti-lgbti-content-on-facebook/" TargetMode="External"/><Relationship Id="rId11" Type="http://schemas.openxmlformats.org/officeDocument/2006/relationships/hyperlink" Target="https://www.amnesty.org.uk/latest/hungary-calls-for-violence-against-the-lgbti-community-go-unchecked-by-meta/" TargetMode="External"/><Relationship Id="rId12" Type="http://schemas.openxmlformats.org/officeDocument/2006/relationships/hyperlink" Target="https://curia.europa.eu/juris/document/document.jsf?text=&amp;docid=274019&amp;pageIndex=0&amp;doclang=EN&amp;mode=req&amp;dir=&amp;occ=first&amp;part=1&amp;cid=105013" TargetMode="External"/><Relationship Id="rId13" Type="http://schemas.openxmlformats.org/officeDocument/2006/relationships/hyperlink" Target="https://www.iglyo.org/resources/cjeu-ruling-hungary-2026" TargetMode="External"/><Relationship Id="rId14" Type="http://schemas.openxmlformats.org/officeDocument/2006/relationships/hyperlink" Target="https://qlit.hu/en/historic-ruling-the-propaganda-act-is-unlawfu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